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pict>
          <v:rect id="矩形 10" o:spid="_x0000_s1026" o:spt="1" style="position:absolute;left:0pt;margin-left:-60.65pt;margin-top:-70.75pt;height:87.75pt;width:590.9pt;z-index:251659264;mso-width-relative:page;mso-height-relative:page;" stroked="t" coordsize="21600,21600">
            <v:path/>
            <v:fill focussize="0,0"/>
            <v:stroke color="#FFFFFF"/>
            <v:imagedata o:title=""/>
            <o:lock v:ext="edit"/>
          </v:rect>
        </w:pict>
      </w:r>
    </w:p>
    <w:p>
      <w:pPr>
        <w:pStyle w:val="20"/>
        <w:adjustRightInd w:val="0"/>
        <w:snapToGrid w:val="0"/>
        <w:spacing w:beforeLines="50" w:beforeAutospacing="0" w:afterLines="50" w:afterAutospacing="0"/>
        <w:jc w:val="center"/>
        <w:rPr>
          <w:rFonts w:hint="default" w:ascii="黑体" w:eastAsia="黑体" w:cs="黑体"/>
          <w:b/>
          <w:bCs/>
          <w:color w:val="1D41D5"/>
          <w:kern w:val="2"/>
          <w:sz w:val="44"/>
          <w:szCs w:val="44"/>
          <w:lang w:val="en-US" w:eastAsia="zh-CN"/>
        </w:rPr>
      </w:pPr>
      <w:r>
        <w:rPr>
          <w:rFonts w:hint="eastAsia" w:ascii="黑体" w:eastAsia="黑体" w:cs="黑体"/>
          <w:b/>
          <w:bCs/>
          <w:color w:val="1D41D5"/>
          <w:kern w:val="2"/>
          <w:sz w:val="44"/>
          <w:szCs w:val="44"/>
          <w:lang w:val="en-US" w:eastAsia="zh-CN"/>
        </w:rPr>
        <w:t>浙江花园电气材料有限公司</w:t>
      </w:r>
    </w:p>
    <w:p>
      <w:pPr>
        <w:pStyle w:val="20"/>
        <w:adjustRightInd w:val="0"/>
        <w:snapToGrid w:val="0"/>
        <w:spacing w:beforeLines="50" w:beforeAutospacing="0" w:afterLines="50" w:afterAutospacing="0"/>
        <w:jc w:val="center"/>
        <w:rPr>
          <w:rFonts w:hint="eastAsia" w:ascii="黑体" w:eastAsia="黑体" w:cs="黑体"/>
          <w:b/>
          <w:bCs/>
          <w:color w:val="1D41D5"/>
          <w:kern w:val="2"/>
          <w:sz w:val="44"/>
          <w:szCs w:val="44"/>
          <w:lang w:val="en-US" w:eastAsia="zh-CN"/>
        </w:rPr>
      </w:pPr>
    </w:p>
    <w:p>
      <w:pPr>
        <w:pStyle w:val="20"/>
        <w:adjustRightInd w:val="0"/>
        <w:snapToGrid w:val="0"/>
        <w:spacing w:beforeLines="50" w:beforeAutospacing="0" w:afterLines="50" w:afterAutospacing="0"/>
        <w:jc w:val="center"/>
        <w:rPr>
          <w:rFonts w:hint="eastAsia" w:ascii="黑体" w:eastAsia="黑体" w:cs="黑体"/>
          <w:b/>
          <w:bCs/>
          <w:color w:val="1D41D5"/>
          <w:kern w:val="2"/>
          <w:sz w:val="44"/>
          <w:szCs w:val="44"/>
          <w:lang w:val="en-US" w:eastAsia="zh-CN"/>
        </w:rPr>
      </w:pPr>
      <w:r>
        <w:rPr>
          <w:rFonts w:hint="eastAsia" w:ascii="黑体" w:eastAsia="黑体" w:cs="黑体"/>
          <w:b/>
          <w:bCs/>
          <w:color w:val="1D41D5"/>
          <w:kern w:val="2"/>
          <w:sz w:val="44"/>
          <w:szCs w:val="44"/>
          <w:lang w:val="en-US" w:eastAsia="zh-CN"/>
        </w:rPr>
        <w:t>2024年度社会责任报告</w:t>
      </w:r>
    </w:p>
    <w:p>
      <w:pPr>
        <w:pStyle w:val="20"/>
        <w:adjustRightInd w:val="0"/>
        <w:snapToGrid w:val="0"/>
        <w:spacing w:beforeLines="50" w:beforeAutospacing="0" w:afterLines="50" w:afterAutospacing="0"/>
        <w:jc w:val="center"/>
        <w:rPr>
          <w:rFonts w:hint="eastAsia" w:ascii="黑体" w:eastAsia="黑体" w:cs="黑体"/>
          <w:b/>
          <w:bCs/>
          <w:color w:val="1D41D5"/>
          <w:kern w:val="2"/>
          <w:sz w:val="44"/>
          <w:szCs w:val="44"/>
          <w:lang w:val="en-US" w:eastAsia="zh-CN"/>
        </w:rPr>
      </w:pPr>
    </w:p>
    <w:p>
      <w:pPr>
        <w:pStyle w:val="20"/>
        <w:adjustRightInd w:val="0"/>
        <w:snapToGrid w:val="0"/>
        <w:spacing w:beforeLines="50" w:beforeAutospacing="0" w:afterLines="50" w:afterAutospacing="0"/>
        <w:jc w:val="center"/>
        <w:rPr>
          <w:rFonts w:hint="eastAsia" w:ascii="黑体" w:eastAsia="黑体" w:cs="黑体"/>
          <w:b/>
          <w:bCs/>
          <w:color w:val="1D41D5"/>
          <w:kern w:val="2"/>
          <w:sz w:val="44"/>
          <w:szCs w:val="44"/>
          <w:lang w:val="en-US" w:eastAsia="zh-CN"/>
        </w:rPr>
      </w:pPr>
    </w:p>
    <w:p>
      <w:pPr>
        <w:pStyle w:val="20"/>
        <w:adjustRightInd w:val="0"/>
        <w:snapToGrid w:val="0"/>
        <w:spacing w:beforeLines="50" w:beforeAutospacing="0" w:afterLines="50" w:afterAutospacing="0"/>
        <w:jc w:val="center"/>
        <w:rPr>
          <w:rFonts w:hint="eastAsia" w:ascii="黑体" w:eastAsia="黑体" w:cs="黑体"/>
          <w:b/>
          <w:bCs/>
          <w:color w:val="1D41D5"/>
          <w:kern w:val="2"/>
          <w:sz w:val="44"/>
          <w:szCs w:val="44"/>
          <w:lang w:val="en-US" w:eastAsia="zh-CN"/>
        </w:rPr>
      </w:pPr>
    </w:p>
    <w:p>
      <w:pPr>
        <w:pStyle w:val="20"/>
        <w:adjustRightInd w:val="0"/>
        <w:snapToGrid w:val="0"/>
        <w:spacing w:beforeLines="50" w:beforeAutospacing="0" w:afterLines="50" w:afterAutospacing="0"/>
        <w:jc w:val="center"/>
        <w:rPr>
          <w:rFonts w:hint="eastAsia" w:ascii="黑体" w:eastAsia="黑体" w:cs="黑体"/>
          <w:b/>
          <w:bCs/>
          <w:color w:val="1D41D5"/>
          <w:kern w:val="2"/>
          <w:sz w:val="44"/>
          <w:szCs w:val="44"/>
          <w:lang w:val="en-US" w:eastAsia="zh-CN"/>
        </w:rPr>
      </w:pPr>
    </w:p>
    <w:p>
      <w:pPr>
        <w:pStyle w:val="20"/>
        <w:adjustRightInd w:val="0"/>
        <w:snapToGrid w:val="0"/>
        <w:spacing w:beforeLines="50" w:beforeAutospacing="0" w:afterLines="50" w:afterAutospacing="0"/>
        <w:jc w:val="center"/>
        <w:rPr>
          <w:rFonts w:hint="eastAsia" w:ascii="黑体" w:eastAsia="黑体" w:cs="黑体"/>
          <w:b/>
          <w:bCs/>
          <w:color w:val="1D41D5"/>
          <w:kern w:val="2"/>
          <w:sz w:val="44"/>
          <w:szCs w:val="44"/>
          <w:lang w:val="en-US" w:eastAsia="zh-CN"/>
        </w:rPr>
      </w:pPr>
    </w:p>
    <w:p>
      <w:pPr>
        <w:pStyle w:val="20"/>
        <w:adjustRightInd w:val="0"/>
        <w:snapToGrid w:val="0"/>
        <w:spacing w:beforeLines="50" w:beforeAutospacing="0" w:afterLines="50" w:afterAutospacing="0"/>
        <w:jc w:val="center"/>
        <w:rPr>
          <w:rFonts w:hint="eastAsia" w:ascii="黑体" w:eastAsia="黑体" w:cs="黑体"/>
          <w:b/>
          <w:bCs/>
          <w:color w:val="1D41D5"/>
          <w:kern w:val="2"/>
          <w:sz w:val="44"/>
          <w:szCs w:val="44"/>
          <w:lang w:val="en-US" w:eastAsia="zh-CN"/>
        </w:rPr>
      </w:pPr>
    </w:p>
    <w:p>
      <w:pPr>
        <w:pStyle w:val="20"/>
        <w:adjustRightInd w:val="0"/>
        <w:snapToGrid w:val="0"/>
        <w:spacing w:beforeLines="50" w:beforeAutospacing="0" w:afterLines="50" w:afterAutospacing="0"/>
        <w:jc w:val="center"/>
        <w:rPr>
          <w:rFonts w:hint="eastAsia" w:ascii="黑体" w:eastAsia="黑体" w:cs="黑体"/>
          <w:b/>
          <w:bCs/>
          <w:color w:val="1D41D5"/>
          <w:kern w:val="2"/>
          <w:sz w:val="44"/>
          <w:szCs w:val="44"/>
          <w:lang w:val="en-US" w:eastAsia="zh-CN"/>
        </w:rPr>
      </w:pPr>
    </w:p>
    <w:p>
      <w:pPr>
        <w:pStyle w:val="20"/>
        <w:adjustRightInd w:val="0"/>
        <w:snapToGrid w:val="0"/>
        <w:spacing w:beforeLines="50" w:beforeAutospacing="0" w:afterLines="50" w:afterAutospacing="0"/>
        <w:jc w:val="center"/>
        <w:rPr>
          <w:rFonts w:hint="eastAsia" w:ascii="黑体" w:eastAsia="黑体" w:cs="黑体"/>
          <w:b/>
          <w:bCs/>
          <w:color w:val="1D41D5"/>
          <w:kern w:val="2"/>
          <w:sz w:val="44"/>
          <w:szCs w:val="44"/>
          <w:lang w:val="en-US" w:eastAsia="zh-CN"/>
        </w:rPr>
      </w:pPr>
      <w:r>
        <w:rPr>
          <w:rFonts w:hint="eastAsia" w:ascii="黑体" w:eastAsia="黑体" w:cs="黑体"/>
          <w:b/>
          <w:bCs/>
          <w:color w:val="1D41D5"/>
          <w:kern w:val="2"/>
          <w:sz w:val="44"/>
          <w:szCs w:val="44"/>
          <w:lang w:val="en-US" w:eastAsia="zh-CN"/>
        </w:rPr>
        <w:t xml:space="preserve">浙江花园电气材料有限公司  </w:t>
      </w:r>
    </w:p>
    <w:p>
      <w:pPr>
        <w:pStyle w:val="20"/>
        <w:adjustRightInd w:val="0"/>
        <w:snapToGrid w:val="0"/>
        <w:spacing w:beforeLines="50" w:beforeAutospacing="0" w:afterLines="50" w:afterAutospacing="0"/>
        <w:jc w:val="center"/>
        <w:rPr>
          <w:rFonts w:hint="eastAsia" w:ascii="黑体" w:eastAsia="黑体" w:cs="黑体"/>
          <w:b/>
          <w:bCs/>
          <w:color w:val="1D41D5"/>
          <w:kern w:val="2"/>
          <w:sz w:val="44"/>
          <w:szCs w:val="44"/>
          <w:lang w:val="en-US" w:eastAsia="zh-CN"/>
        </w:rPr>
      </w:pPr>
      <w:r>
        <w:rPr>
          <w:rFonts w:hint="eastAsia" w:ascii="黑体" w:eastAsia="黑体" w:cs="黑体"/>
          <w:b/>
          <w:bCs/>
          <w:color w:val="1D41D5"/>
          <w:kern w:val="2"/>
          <w:sz w:val="44"/>
          <w:szCs w:val="44"/>
          <w:lang w:val="en-US" w:eastAsia="zh-CN"/>
        </w:rPr>
        <w:t>2024年6月</w:t>
      </w:r>
    </w:p>
    <w:p>
      <w:pPr>
        <w:pStyle w:val="20"/>
        <w:adjustRightInd w:val="0"/>
        <w:snapToGrid w:val="0"/>
        <w:spacing w:beforeLines="50" w:beforeAutospacing="0" w:afterLines="50" w:afterAutospacing="0"/>
        <w:jc w:val="center"/>
        <w:rPr>
          <w:rFonts w:hint="eastAsia" w:ascii="黑体" w:eastAsia="黑体" w:cs="黑体"/>
          <w:b/>
          <w:bCs/>
          <w:color w:val="1D41D5"/>
          <w:kern w:val="2"/>
          <w:sz w:val="44"/>
          <w:szCs w:val="44"/>
          <w:lang w:val="en-US" w:eastAsia="zh-CN"/>
        </w:rPr>
      </w:pPr>
    </w:p>
    <w:p>
      <w:pPr>
        <w:rPr>
          <w:rFonts w:ascii="??_GB2312" w:eastAsia="Times New Roman"/>
          <w:b/>
          <w:bCs/>
          <w:sz w:val="24"/>
          <w:szCs w:val="24"/>
        </w:rPr>
      </w:pPr>
    </w:p>
    <w:p>
      <w:pPr>
        <w:rPr>
          <w:rFonts w:ascii="??_GB2312" w:eastAsia="Times New Roman"/>
          <w:b/>
          <w:bCs/>
          <w:sz w:val="24"/>
          <w:szCs w:val="24"/>
        </w:rPr>
      </w:pPr>
    </w:p>
    <w:p>
      <w:pPr>
        <w:rPr>
          <w:rFonts w:ascii="??_GB2312" w:eastAsia="Times New Roman"/>
          <w:b/>
          <w:bCs/>
          <w:sz w:val="24"/>
          <w:szCs w:val="24"/>
        </w:rPr>
      </w:pPr>
    </w:p>
    <w:p>
      <w:pPr>
        <w:rPr>
          <w:rFonts w:ascii="??_GB2312" w:eastAsia="Times New Roman"/>
          <w:b/>
          <w:bCs/>
          <w:sz w:val="24"/>
          <w:szCs w:val="24"/>
        </w:rPr>
      </w:pPr>
    </w:p>
    <w:p>
      <w:pPr>
        <w:tabs>
          <w:tab w:val="left" w:pos="7421"/>
        </w:tabs>
        <w:jc w:val="left"/>
        <w:rPr>
          <w:rFonts w:ascii="??_GB2312" w:eastAsia="Times New Roman"/>
          <w:b/>
          <w:bCs/>
          <w:sz w:val="28"/>
          <w:szCs w:val="28"/>
        </w:rPr>
      </w:pPr>
    </w:p>
    <w:p>
      <w:pPr>
        <w:pStyle w:val="11"/>
        <w:rPr>
          <w:rFonts w:ascii="??_GB2312" w:eastAsia="Times New Roman"/>
          <w:b/>
          <w:bCs/>
          <w:sz w:val="28"/>
          <w:szCs w:val="28"/>
        </w:rPr>
      </w:pPr>
    </w:p>
    <w:p>
      <w:pPr>
        <w:pStyle w:val="11"/>
        <w:rPr>
          <w:rFonts w:ascii="??_GB2312" w:eastAsia="Times New Roman"/>
          <w:b/>
          <w:bCs/>
          <w:sz w:val="28"/>
          <w:szCs w:val="28"/>
        </w:rPr>
      </w:pPr>
    </w:p>
    <w:p>
      <w:pPr>
        <w:pStyle w:val="11"/>
        <w:rPr>
          <w:rFonts w:ascii="??_GB2312" w:eastAsia="Times New Roman"/>
          <w:b/>
          <w:bCs/>
          <w:sz w:val="28"/>
          <w:szCs w:val="28"/>
        </w:rPr>
      </w:pPr>
    </w:p>
    <w:p>
      <w:pPr>
        <w:spacing w:beforeLines="150" w:line="360" w:lineRule="auto"/>
        <w:jc w:val="center"/>
        <w:rPr>
          <w:rFonts w:ascii="??_GB2312" w:hAnsi="宋体" w:eastAsia="Times New Roman"/>
          <w:b/>
          <w:bCs/>
          <w:sz w:val="36"/>
          <w:szCs w:val="36"/>
        </w:rPr>
      </w:pPr>
      <w:r>
        <w:rPr>
          <w:rFonts w:ascii="??_GB2312" w:hAnsi="宋体" w:eastAsia="Times New Roman"/>
          <w:b/>
          <w:bCs/>
          <w:sz w:val="36"/>
          <w:szCs w:val="36"/>
        </w:rPr>
        <w:t>关于本报告</w:t>
      </w:r>
    </w:p>
    <w:p>
      <w:pPr>
        <w:spacing w:line="360" w:lineRule="auto"/>
        <w:rPr>
          <w:rFonts w:ascii="??_GB2312" w:hAnsi="宋体" w:eastAsia="Times New Roman"/>
          <w:b/>
          <w:bCs/>
          <w:sz w:val="24"/>
          <w:szCs w:val="24"/>
        </w:rPr>
      </w:pPr>
    </w:p>
    <w:p>
      <w:pPr>
        <w:spacing w:line="360" w:lineRule="auto"/>
        <w:ind w:firstLine="470" w:firstLineChars="196"/>
        <w:rPr>
          <w:rFonts w:ascii="??_GB2312" w:hAnsi="宋体" w:eastAsia="Times New Roman"/>
          <w:sz w:val="24"/>
          <w:szCs w:val="24"/>
        </w:rPr>
      </w:pPr>
      <w:r>
        <w:rPr>
          <w:rFonts w:ascii="??_GB2312" w:hAnsi="宋体" w:eastAsia="Times New Roman"/>
          <w:sz w:val="24"/>
          <w:szCs w:val="24"/>
        </w:rPr>
        <w:t>《</w:t>
      </w:r>
      <w:r>
        <w:rPr>
          <w:rFonts w:hint="eastAsia" w:ascii="??_GB2312" w:hAnsi="宋体"/>
          <w:sz w:val="24"/>
          <w:szCs w:val="24"/>
          <w:lang w:eastAsia="zh-CN"/>
        </w:rPr>
        <w:t>浙江花园电气材料</w:t>
      </w:r>
      <w:r>
        <w:rPr>
          <w:rFonts w:ascii="??_GB2312" w:hAnsi="宋体" w:eastAsia="Times New Roman"/>
          <w:sz w:val="24"/>
          <w:szCs w:val="24"/>
        </w:rPr>
        <w:t>有限公司</w:t>
      </w:r>
      <w:r>
        <w:rPr>
          <w:rFonts w:ascii="??_GB2312" w:hAnsi="宋体" w:eastAsia="Times New Roman" w:cs="??_GB2312"/>
          <w:sz w:val="24"/>
          <w:szCs w:val="24"/>
        </w:rPr>
        <w:t>20</w:t>
      </w:r>
      <w:r>
        <w:rPr>
          <w:rFonts w:hint="eastAsia" w:ascii="??_GB2312" w:hAnsi="宋体" w:cs="??_GB2312"/>
          <w:sz w:val="24"/>
          <w:szCs w:val="24"/>
          <w:lang w:val="en-US" w:eastAsia="zh-CN"/>
        </w:rPr>
        <w:t>24</w:t>
      </w:r>
      <w:r>
        <w:rPr>
          <w:rFonts w:ascii="??_GB2312" w:hAnsi="宋体" w:eastAsia="Times New Roman"/>
          <w:sz w:val="24"/>
          <w:szCs w:val="24"/>
        </w:rPr>
        <w:t>年度社会责任报告》总结和反映了</w:t>
      </w:r>
      <w:r>
        <w:rPr>
          <w:rFonts w:ascii="??_GB2312" w:hAnsi="宋体" w:eastAsia="Times New Roman" w:cs="??_GB2312"/>
          <w:sz w:val="24"/>
          <w:szCs w:val="24"/>
        </w:rPr>
        <w:t>20</w:t>
      </w:r>
      <w:r>
        <w:rPr>
          <w:rFonts w:hint="eastAsia" w:ascii="??_GB2312" w:hAnsi="宋体" w:cs="??_GB2312"/>
          <w:sz w:val="24"/>
          <w:szCs w:val="24"/>
          <w:lang w:val="en-US" w:eastAsia="zh-CN"/>
        </w:rPr>
        <w:t>24</w:t>
      </w:r>
      <w:r>
        <w:rPr>
          <w:rFonts w:ascii="??_GB2312" w:hAnsi="宋体" w:eastAsia="Times New Roman"/>
          <w:sz w:val="24"/>
          <w:szCs w:val="24"/>
        </w:rPr>
        <w:t>年度</w:t>
      </w:r>
      <w:r>
        <w:rPr>
          <w:rFonts w:hint="eastAsia" w:ascii="??_GB2312" w:hAnsi="宋体"/>
          <w:sz w:val="24"/>
          <w:szCs w:val="24"/>
          <w:lang w:eastAsia="zh-CN"/>
        </w:rPr>
        <w:t>浙江花园电气材料</w:t>
      </w:r>
      <w:r>
        <w:rPr>
          <w:rFonts w:ascii="??_GB2312" w:hAnsi="宋体" w:eastAsia="Times New Roman"/>
          <w:sz w:val="24"/>
          <w:szCs w:val="24"/>
        </w:rPr>
        <w:t>有限公司（以下简称“公司”）在生产经营的同时，促进经济可持续发展、社会可持续发展以及环境及生态可持续发展方面所履行社会责任的实践情况。</w:t>
      </w:r>
    </w:p>
    <w:p>
      <w:pPr>
        <w:spacing w:line="360" w:lineRule="auto"/>
        <w:rPr>
          <w:rFonts w:ascii="??_GB2312" w:hAnsi="宋体" w:eastAsia="Times New Roman"/>
          <w:sz w:val="24"/>
          <w:szCs w:val="24"/>
        </w:rPr>
      </w:pPr>
    </w:p>
    <w:p>
      <w:pPr>
        <w:spacing w:line="360" w:lineRule="auto"/>
        <w:rPr>
          <w:rFonts w:ascii="??_GB2312" w:hAnsi="宋体" w:eastAsia="Times New Roman"/>
          <w:sz w:val="24"/>
          <w:szCs w:val="24"/>
        </w:rPr>
      </w:pPr>
      <w:r>
        <w:rPr>
          <w:rFonts w:ascii="??_GB2312" w:hAnsi="宋体" w:eastAsia="Times New Roman"/>
          <w:sz w:val="24"/>
          <w:szCs w:val="24"/>
        </w:rPr>
        <w:t>报告时间：</w:t>
      </w:r>
    </w:p>
    <w:p>
      <w:pPr>
        <w:spacing w:line="360" w:lineRule="auto"/>
        <w:ind w:firstLine="480" w:firstLineChars="200"/>
        <w:rPr>
          <w:rFonts w:ascii="??_GB2312" w:hAnsi="宋体" w:eastAsia="Times New Roman"/>
          <w:sz w:val="24"/>
          <w:szCs w:val="24"/>
        </w:rPr>
      </w:pPr>
      <w:r>
        <w:rPr>
          <w:rFonts w:ascii="??_GB2312" w:hAnsi="宋体" w:eastAsia="Times New Roman"/>
          <w:sz w:val="24"/>
          <w:szCs w:val="24"/>
        </w:rPr>
        <w:t>本报告的报告时间为</w:t>
      </w:r>
      <w:r>
        <w:rPr>
          <w:rFonts w:ascii="??_GB2312" w:hAnsi="宋体" w:eastAsia="Times New Roman" w:cs="??_GB2312"/>
          <w:sz w:val="24"/>
          <w:szCs w:val="24"/>
        </w:rPr>
        <w:t>20</w:t>
      </w:r>
      <w:r>
        <w:rPr>
          <w:rFonts w:hint="eastAsia" w:ascii="??_GB2312" w:hAnsi="宋体" w:cs="??_GB2312"/>
          <w:sz w:val="24"/>
          <w:szCs w:val="24"/>
          <w:lang w:val="en-US" w:eastAsia="zh-CN"/>
        </w:rPr>
        <w:t>23</w:t>
      </w:r>
      <w:r>
        <w:rPr>
          <w:rFonts w:ascii="??_GB2312" w:hAnsi="宋体" w:eastAsia="Times New Roman"/>
          <w:sz w:val="24"/>
          <w:szCs w:val="24"/>
        </w:rPr>
        <w:t>年</w:t>
      </w:r>
      <w:r>
        <w:rPr>
          <w:rFonts w:hint="eastAsia" w:ascii="??_GB2312" w:hAnsi="宋体" w:cs="??_GB2312"/>
          <w:sz w:val="24"/>
          <w:szCs w:val="24"/>
          <w:lang w:val="en-US" w:eastAsia="zh-CN"/>
        </w:rPr>
        <w:t>5</w:t>
      </w:r>
      <w:r>
        <w:rPr>
          <w:rFonts w:ascii="??_GB2312" w:hAnsi="宋体" w:eastAsia="Times New Roman"/>
          <w:sz w:val="24"/>
          <w:szCs w:val="24"/>
        </w:rPr>
        <w:t>月</w:t>
      </w:r>
      <w:r>
        <w:rPr>
          <w:rFonts w:ascii="??_GB2312" w:hAnsi="宋体" w:eastAsia="Times New Roman" w:cs="??_GB2312"/>
          <w:sz w:val="24"/>
          <w:szCs w:val="24"/>
        </w:rPr>
        <w:t>1</w:t>
      </w:r>
      <w:r>
        <w:rPr>
          <w:rFonts w:ascii="??_GB2312" w:hAnsi="宋体" w:eastAsia="Times New Roman"/>
          <w:sz w:val="24"/>
          <w:szCs w:val="24"/>
        </w:rPr>
        <w:t>日</w:t>
      </w:r>
      <w:r>
        <w:rPr>
          <w:rFonts w:ascii="??_GB2312" w:hAnsi="宋体" w:eastAsia="Times New Roman" w:cs="??_GB2312"/>
          <w:sz w:val="24"/>
          <w:szCs w:val="24"/>
        </w:rPr>
        <w:t>-20</w:t>
      </w:r>
      <w:r>
        <w:rPr>
          <w:rFonts w:hint="eastAsia" w:ascii="??_GB2312" w:hAnsi="宋体" w:cs="??_GB2312"/>
          <w:sz w:val="24"/>
          <w:szCs w:val="24"/>
          <w:lang w:val="en-US" w:eastAsia="zh-CN"/>
        </w:rPr>
        <w:t>24</w:t>
      </w:r>
      <w:r>
        <w:rPr>
          <w:rFonts w:ascii="??_GB2312" w:hAnsi="宋体" w:eastAsia="Times New Roman"/>
          <w:sz w:val="24"/>
          <w:szCs w:val="24"/>
        </w:rPr>
        <w:t>年</w:t>
      </w:r>
      <w:r>
        <w:rPr>
          <w:rFonts w:hint="eastAsia" w:ascii="??_GB2312" w:hAnsi="宋体" w:cs="??_GB2312"/>
          <w:sz w:val="24"/>
          <w:szCs w:val="24"/>
          <w:lang w:val="en-US" w:eastAsia="zh-CN"/>
        </w:rPr>
        <w:t>5</w:t>
      </w:r>
      <w:r>
        <w:rPr>
          <w:rFonts w:ascii="??_GB2312" w:hAnsi="宋体" w:eastAsia="Times New Roman"/>
          <w:sz w:val="24"/>
          <w:szCs w:val="24"/>
        </w:rPr>
        <w:t>月</w:t>
      </w:r>
      <w:r>
        <w:rPr>
          <w:rFonts w:ascii="??_GB2312" w:hAnsi="宋体" w:eastAsia="Times New Roman" w:cs="??_GB2312"/>
          <w:sz w:val="24"/>
          <w:szCs w:val="24"/>
        </w:rPr>
        <w:t>31</w:t>
      </w:r>
      <w:r>
        <w:rPr>
          <w:rFonts w:ascii="??_GB2312" w:hAnsi="宋体" w:eastAsia="Times New Roman"/>
          <w:sz w:val="24"/>
          <w:szCs w:val="24"/>
        </w:rPr>
        <w:t>日。</w:t>
      </w:r>
    </w:p>
    <w:p>
      <w:pPr>
        <w:spacing w:line="360" w:lineRule="auto"/>
        <w:rPr>
          <w:rFonts w:ascii="??_GB2312" w:hAnsi="宋体" w:eastAsia="Times New Roman"/>
          <w:sz w:val="24"/>
          <w:szCs w:val="24"/>
        </w:rPr>
      </w:pPr>
      <w:r>
        <w:rPr>
          <w:rFonts w:ascii="??_GB2312" w:hAnsi="宋体" w:eastAsia="Times New Roman"/>
          <w:sz w:val="24"/>
          <w:szCs w:val="24"/>
        </w:rPr>
        <w:t>编制依据：《</w:t>
      </w:r>
      <w:r>
        <w:fldChar w:fldCharType="begin"/>
      </w:r>
      <w:r>
        <w:instrText xml:space="preserve"> HYPERLINK "https://baike.so.com/doc/7631871-7905966.html" \t "https://baike.so.com/doc/_blank" </w:instrText>
      </w:r>
      <w:r>
        <w:fldChar w:fldCharType="separate"/>
      </w:r>
      <w:r>
        <w:rPr>
          <w:rFonts w:ascii="??_GB2312" w:hAnsi="宋体" w:eastAsia="Times New Roman"/>
          <w:sz w:val="24"/>
          <w:szCs w:val="24"/>
        </w:rPr>
        <w:t>中国企业社会责任报告编写指南</w:t>
      </w:r>
      <w:r>
        <w:rPr>
          <w:rFonts w:ascii="??_GB2312" w:hAnsi="宋体" w:eastAsia="Times New Roman"/>
          <w:sz w:val="24"/>
          <w:szCs w:val="24"/>
        </w:rPr>
        <w:fldChar w:fldCharType="end"/>
      </w:r>
      <w:r>
        <w:rPr>
          <w:rFonts w:ascii="??_GB2312" w:hAnsi="宋体" w:eastAsia="Times New Roman" w:cs="??_GB2312"/>
          <w:sz w:val="24"/>
          <w:szCs w:val="24"/>
        </w:rPr>
        <w:t>(CASS-CSR 1.0)</w:t>
      </w:r>
      <w:r>
        <w:rPr>
          <w:rFonts w:ascii="??_GB2312" w:hAnsi="宋体" w:eastAsia="Times New Roman"/>
          <w:sz w:val="24"/>
          <w:szCs w:val="24"/>
        </w:rPr>
        <w:t>》</w:t>
      </w:r>
    </w:p>
    <w:p>
      <w:pPr>
        <w:spacing w:line="360" w:lineRule="auto"/>
        <w:rPr>
          <w:rFonts w:ascii="??_GB2312" w:hAnsi="宋体" w:eastAsia="Times New Roman"/>
          <w:sz w:val="24"/>
          <w:szCs w:val="24"/>
        </w:rPr>
      </w:pPr>
      <w:r>
        <w:rPr>
          <w:rFonts w:ascii="??_GB2312" w:hAnsi="宋体" w:eastAsia="Times New Roman"/>
          <w:sz w:val="24"/>
          <w:szCs w:val="24"/>
        </w:rPr>
        <w:t>报告范围：</w:t>
      </w:r>
    </w:p>
    <w:p>
      <w:pPr>
        <w:spacing w:line="360" w:lineRule="auto"/>
        <w:ind w:firstLine="480" w:firstLineChars="200"/>
        <w:rPr>
          <w:rFonts w:ascii="??_GB2312" w:hAnsi="宋体" w:eastAsia="Times New Roman"/>
          <w:sz w:val="24"/>
          <w:szCs w:val="24"/>
        </w:rPr>
      </w:pPr>
      <w:r>
        <w:rPr>
          <w:rFonts w:ascii="??_GB2312" w:hAnsi="宋体" w:eastAsia="Times New Roman"/>
          <w:sz w:val="24"/>
          <w:szCs w:val="24"/>
        </w:rPr>
        <w:t>本报告组织范围为</w:t>
      </w:r>
      <w:r>
        <w:rPr>
          <w:rFonts w:hint="eastAsia" w:ascii="??_GB2312" w:hAnsi="宋体"/>
          <w:sz w:val="24"/>
          <w:szCs w:val="24"/>
          <w:lang w:eastAsia="zh-CN"/>
        </w:rPr>
        <w:t>浙江花园电气材料</w:t>
      </w:r>
      <w:r>
        <w:rPr>
          <w:rFonts w:ascii="??_GB2312" w:hAnsi="宋体" w:eastAsia="Times New Roman"/>
          <w:sz w:val="24"/>
          <w:szCs w:val="24"/>
        </w:rPr>
        <w:t>有限公司。</w:t>
      </w:r>
    </w:p>
    <w:p>
      <w:pPr>
        <w:spacing w:line="360" w:lineRule="auto"/>
        <w:ind w:firstLine="480" w:firstLineChars="200"/>
        <w:rPr>
          <w:rFonts w:ascii="??_GB2312" w:hAnsi="宋体" w:eastAsia="Times New Roman"/>
          <w:sz w:val="24"/>
          <w:szCs w:val="24"/>
        </w:rPr>
      </w:pPr>
    </w:p>
    <w:p>
      <w:pPr>
        <w:spacing w:line="360" w:lineRule="auto"/>
        <w:rPr>
          <w:rFonts w:ascii="??_GB2312" w:hAnsi="宋体" w:eastAsia="Times New Roman"/>
          <w:sz w:val="24"/>
          <w:szCs w:val="24"/>
        </w:rPr>
      </w:pPr>
      <w:r>
        <w:rPr>
          <w:rFonts w:ascii="??_GB2312" w:hAnsi="宋体" w:eastAsia="Times New Roman"/>
          <w:sz w:val="24"/>
          <w:szCs w:val="24"/>
        </w:rPr>
        <w:t>发布形式：</w:t>
      </w:r>
    </w:p>
    <w:p>
      <w:pPr>
        <w:ind w:firstLine="480" w:firstLineChars="200"/>
        <w:rPr>
          <w:rFonts w:ascii="仿宋" w:eastAsia="仿宋"/>
        </w:rPr>
      </w:pPr>
      <w:r>
        <w:rPr>
          <w:rFonts w:ascii="??_GB2312" w:hAnsi="宋体" w:eastAsia="Times New Roman"/>
          <w:sz w:val="24"/>
          <w:szCs w:val="24"/>
        </w:rPr>
        <w:t>本公司每年定期发布一次</w:t>
      </w:r>
      <w:r>
        <w:rPr>
          <w:rFonts w:hint="eastAsia" w:ascii="??_GB2312" w:hAnsi="宋体"/>
          <w:sz w:val="24"/>
          <w:szCs w:val="24"/>
          <w:lang w:val="en-US" w:eastAsia="zh-CN"/>
        </w:rPr>
        <w:t>社会责任</w:t>
      </w:r>
      <w:r>
        <w:rPr>
          <w:rFonts w:ascii="??_GB2312" w:hAnsi="宋体" w:eastAsia="Times New Roman"/>
          <w:sz w:val="24"/>
          <w:szCs w:val="24"/>
        </w:rPr>
        <w:t>报告，本报告以</w:t>
      </w:r>
      <w:r>
        <w:rPr>
          <w:rFonts w:ascii="??_GB2312" w:hAnsi="宋体" w:eastAsia="Times New Roman" w:cs="??_GB2312"/>
          <w:sz w:val="24"/>
          <w:szCs w:val="24"/>
        </w:rPr>
        <w:t>PDF</w:t>
      </w:r>
      <w:r>
        <w:rPr>
          <w:rFonts w:ascii="??_GB2312" w:hAnsi="宋体" w:eastAsia="Times New Roman"/>
          <w:sz w:val="24"/>
          <w:szCs w:val="24"/>
        </w:rPr>
        <w:t>电子文档形式在本公司网站向社会公布，欢迎下载阅读并提出宝贵意见</w:t>
      </w:r>
      <w:r>
        <w:rPr>
          <w:rFonts w:hint="eastAsia" w:ascii="仿宋" w:hAnsi="仿宋" w:cs="宋体"/>
        </w:rPr>
        <w:t>。</w:t>
      </w:r>
    </w:p>
    <w:p>
      <w:pPr>
        <w:spacing w:line="360" w:lineRule="auto"/>
        <w:ind w:firstLine="435"/>
        <w:rPr>
          <w:rFonts w:ascii="??_GB2312" w:hAnsi="宋体" w:eastAsia="Times New Roman"/>
          <w:sz w:val="24"/>
          <w:szCs w:val="24"/>
        </w:rPr>
      </w:pPr>
    </w:p>
    <w:p>
      <w:pPr>
        <w:pStyle w:val="11"/>
        <w:rPr>
          <w:rFonts w:ascii="??_GB2312" w:hAnsi="宋体" w:eastAsia="Times New Roman"/>
          <w:sz w:val="24"/>
          <w:szCs w:val="24"/>
        </w:rPr>
      </w:pPr>
    </w:p>
    <w:p>
      <w:pPr>
        <w:pStyle w:val="11"/>
        <w:rPr>
          <w:rFonts w:ascii="??_GB2312" w:hAnsi="宋体" w:eastAsia="Times New Roman"/>
          <w:sz w:val="24"/>
          <w:szCs w:val="24"/>
        </w:rPr>
      </w:pPr>
    </w:p>
    <w:p>
      <w:pPr>
        <w:pStyle w:val="11"/>
        <w:rPr>
          <w:rFonts w:ascii="??_GB2312" w:hAnsi="宋体" w:eastAsia="Times New Roman"/>
          <w:sz w:val="24"/>
          <w:szCs w:val="24"/>
        </w:rPr>
      </w:pPr>
    </w:p>
    <w:p>
      <w:pPr>
        <w:pStyle w:val="11"/>
        <w:rPr>
          <w:rFonts w:ascii="??_GB2312" w:hAnsi="宋体" w:eastAsia="Times New Roman"/>
          <w:sz w:val="24"/>
          <w:szCs w:val="24"/>
        </w:rPr>
      </w:pPr>
    </w:p>
    <w:p>
      <w:pPr>
        <w:pStyle w:val="11"/>
        <w:rPr>
          <w:rFonts w:ascii="??_GB2312" w:hAnsi="宋体" w:eastAsia="Times New Roman"/>
          <w:sz w:val="24"/>
          <w:szCs w:val="24"/>
        </w:rPr>
      </w:pPr>
    </w:p>
    <w:p>
      <w:pPr>
        <w:pStyle w:val="11"/>
        <w:rPr>
          <w:rFonts w:ascii="??_GB2312" w:hAnsi="宋体" w:eastAsia="Times New Roman"/>
          <w:sz w:val="24"/>
          <w:szCs w:val="24"/>
        </w:rPr>
      </w:pPr>
    </w:p>
    <w:p>
      <w:pPr>
        <w:pStyle w:val="11"/>
        <w:rPr>
          <w:rFonts w:ascii="??_GB2312" w:hAnsi="宋体" w:eastAsia="Times New Roman"/>
          <w:sz w:val="24"/>
          <w:szCs w:val="24"/>
        </w:rPr>
      </w:pPr>
    </w:p>
    <w:p>
      <w:pPr>
        <w:pStyle w:val="11"/>
        <w:rPr>
          <w:rFonts w:ascii="??_GB2312" w:hAnsi="宋体" w:eastAsia="Times New Roman"/>
          <w:sz w:val="24"/>
          <w:szCs w:val="24"/>
        </w:rPr>
      </w:pPr>
    </w:p>
    <w:p>
      <w:pPr>
        <w:pStyle w:val="11"/>
        <w:rPr>
          <w:rFonts w:ascii="??_GB2312" w:hAnsi="宋体" w:eastAsia="Times New Roman"/>
          <w:sz w:val="24"/>
          <w:szCs w:val="24"/>
        </w:rPr>
      </w:pPr>
    </w:p>
    <w:p>
      <w:pPr>
        <w:pStyle w:val="11"/>
        <w:rPr>
          <w:rFonts w:ascii="??_GB2312" w:hAnsi="宋体" w:eastAsia="Times New Roman"/>
          <w:sz w:val="24"/>
          <w:szCs w:val="24"/>
        </w:rPr>
      </w:pPr>
    </w:p>
    <w:p>
      <w:pPr>
        <w:pStyle w:val="11"/>
        <w:rPr>
          <w:rFonts w:ascii="??_GB2312" w:hAnsi="宋体" w:eastAsia="Times New Roman"/>
          <w:sz w:val="24"/>
          <w:szCs w:val="24"/>
        </w:rPr>
      </w:pPr>
    </w:p>
    <w:p>
      <w:pPr>
        <w:pStyle w:val="11"/>
        <w:rPr>
          <w:rFonts w:ascii="??_GB2312" w:hAnsi="宋体" w:eastAsia="Times New Roman"/>
          <w:sz w:val="24"/>
          <w:szCs w:val="24"/>
        </w:rPr>
      </w:pPr>
    </w:p>
    <w:p>
      <w:pPr>
        <w:pStyle w:val="11"/>
        <w:rPr>
          <w:rFonts w:ascii="??_GB2312" w:hAnsi="宋体" w:eastAsia="Times New Roman"/>
          <w:sz w:val="24"/>
          <w:szCs w:val="24"/>
        </w:rPr>
      </w:pPr>
    </w:p>
    <w:p>
      <w:pPr>
        <w:pStyle w:val="11"/>
        <w:rPr>
          <w:rFonts w:ascii="??_GB2312" w:hAnsi="宋体" w:eastAsia="Times New Roman"/>
          <w:sz w:val="24"/>
          <w:szCs w:val="24"/>
        </w:rPr>
      </w:pPr>
    </w:p>
    <w:p>
      <w:pPr>
        <w:pStyle w:val="11"/>
        <w:rPr>
          <w:rFonts w:ascii="??_GB2312" w:hAnsi="宋体" w:eastAsia="Times New Roman"/>
          <w:sz w:val="24"/>
          <w:szCs w:val="24"/>
        </w:rPr>
      </w:pPr>
    </w:p>
    <w:p>
      <w:pPr>
        <w:pStyle w:val="11"/>
        <w:rPr>
          <w:rFonts w:ascii="??_GB2312" w:hAnsi="宋体" w:eastAsia="Times New Roman"/>
          <w:sz w:val="24"/>
          <w:szCs w:val="24"/>
        </w:rPr>
      </w:pPr>
    </w:p>
    <w:p>
      <w:pPr>
        <w:pStyle w:val="11"/>
        <w:rPr>
          <w:rFonts w:ascii="??_GB2312" w:hAnsi="宋体" w:eastAsia="Times New Roman"/>
          <w:sz w:val="24"/>
          <w:szCs w:val="24"/>
        </w:rPr>
      </w:pPr>
    </w:p>
    <w:p>
      <w:pPr>
        <w:spacing w:line="360" w:lineRule="auto"/>
        <w:rPr>
          <w:rFonts w:ascii="??_GB2312" w:eastAsia="Times New Roman"/>
          <w:b/>
          <w:bCs/>
          <w:sz w:val="28"/>
          <w:szCs w:val="28"/>
        </w:rPr>
      </w:pPr>
    </w:p>
    <w:p>
      <w:pPr>
        <w:spacing w:beforeLines="100" w:line="360" w:lineRule="auto"/>
        <w:ind w:firstLine="562" w:firstLineChars="200"/>
        <w:jc w:val="center"/>
        <w:rPr>
          <w:rFonts w:ascii="??_GB2312" w:eastAsia="Times New Roman"/>
          <w:b/>
          <w:bCs/>
          <w:sz w:val="24"/>
          <w:szCs w:val="24"/>
        </w:rPr>
      </w:pPr>
      <w:r>
        <w:rPr>
          <w:rFonts w:hint="eastAsia" w:ascii="宋体" w:hAnsi="宋体" w:cs="宋体"/>
          <w:b/>
          <w:bCs/>
          <w:sz w:val="28"/>
          <w:szCs w:val="28"/>
        </w:rPr>
        <w:t>目</w:t>
      </w:r>
      <w:r>
        <w:rPr>
          <w:rFonts w:ascii="宋体" w:hAnsi="宋体" w:cs="宋体"/>
          <w:b/>
          <w:bCs/>
          <w:sz w:val="28"/>
          <w:szCs w:val="28"/>
        </w:rPr>
        <w:t xml:space="preserve">  </w:t>
      </w:r>
      <w:r>
        <w:rPr>
          <w:rFonts w:hint="eastAsia" w:ascii="宋体" w:hAnsi="宋体" w:cs="宋体"/>
          <w:b/>
          <w:bCs/>
          <w:sz w:val="28"/>
          <w:szCs w:val="28"/>
        </w:rPr>
        <w:t>录</w:t>
      </w:r>
    </w:p>
    <w:p>
      <w:pPr>
        <w:pStyle w:val="17"/>
        <w:tabs>
          <w:tab w:val="right" w:leader="dot" w:pos="9525"/>
        </w:tabs>
        <w:spacing w:line="460" w:lineRule="exact"/>
        <w:rPr>
          <w:rFonts w:ascii="楷体" w:hAnsi="楷体" w:eastAsia="楷体"/>
          <w:sz w:val="24"/>
          <w:szCs w:val="24"/>
        </w:rPr>
      </w:pPr>
      <w:r>
        <w:rPr>
          <w:rFonts w:ascii="宋体" w:hAnsi="宋体" w:cs="宋体"/>
          <w:sz w:val="24"/>
          <w:szCs w:val="24"/>
        </w:rPr>
        <w:fldChar w:fldCharType="begin"/>
      </w:r>
      <w:r>
        <w:rPr>
          <w:rFonts w:ascii="宋体" w:hAnsi="宋体" w:cs="宋体"/>
          <w:sz w:val="24"/>
          <w:szCs w:val="24"/>
        </w:rPr>
        <w:instrText xml:space="preserve"> TOC \o "1-3" \h \z \u </w:instrText>
      </w:r>
      <w:r>
        <w:rPr>
          <w:rFonts w:ascii="宋体" w:hAnsi="宋体" w:cs="宋体"/>
          <w:sz w:val="24"/>
          <w:szCs w:val="24"/>
        </w:rPr>
        <w:fldChar w:fldCharType="separate"/>
      </w:r>
      <w:r>
        <w:fldChar w:fldCharType="begin"/>
      </w:r>
      <w:r>
        <w:instrText xml:space="preserve"> HYPERLINK \l "_Toc3844" </w:instrText>
      </w:r>
      <w:r>
        <w:fldChar w:fldCharType="separate"/>
      </w:r>
      <w:r>
        <w:rPr>
          <w:rFonts w:hint="eastAsia" w:ascii="楷体" w:hAnsi="楷体" w:eastAsia="楷体" w:cs="楷体"/>
          <w:sz w:val="24"/>
          <w:szCs w:val="24"/>
        </w:rPr>
        <w:t>一、公司概况</w:t>
      </w:r>
      <w:r>
        <w:rPr>
          <w:rFonts w:ascii="楷体" w:hAnsi="楷体" w:eastAsia="楷体"/>
          <w:sz w:val="24"/>
          <w:szCs w:val="24"/>
        </w:rPr>
        <w:tab/>
      </w:r>
      <w:r>
        <w:rPr>
          <w:rFonts w:ascii="楷体" w:hAnsi="楷体" w:eastAsia="楷体" w:cs="楷体"/>
          <w:sz w:val="24"/>
          <w:szCs w:val="24"/>
        </w:rPr>
        <w:t>4</w:t>
      </w:r>
      <w:r>
        <w:rPr>
          <w:rFonts w:ascii="楷体" w:hAnsi="楷体" w:eastAsia="楷体" w:cs="楷体"/>
          <w:sz w:val="24"/>
          <w:szCs w:val="24"/>
        </w:rPr>
        <w:fldChar w:fldCharType="end"/>
      </w:r>
    </w:p>
    <w:p>
      <w:pPr>
        <w:pStyle w:val="18"/>
        <w:tabs>
          <w:tab w:val="right" w:leader="dot" w:pos="9525"/>
        </w:tabs>
        <w:spacing w:line="460" w:lineRule="exact"/>
        <w:ind w:left="31680"/>
        <w:rPr>
          <w:rFonts w:ascii="楷体" w:hAnsi="楷体" w:eastAsia="楷体"/>
          <w:sz w:val="24"/>
          <w:szCs w:val="24"/>
        </w:rPr>
      </w:pPr>
      <w:r>
        <w:fldChar w:fldCharType="begin"/>
      </w:r>
      <w:r>
        <w:instrText xml:space="preserve"> HYPERLINK \l "_Toc12018" </w:instrText>
      </w:r>
      <w:r>
        <w:fldChar w:fldCharType="separate"/>
      </w:r>
      <w:r>
        <w:rPr>
          <w:rFonts w:hint="eastAsia" w:ascii="楷体" w:hAnsi="楷体" w:eastAsia="楷体" w:cs="楷体"/>
          <w:sz w:val="24"/>
          <w:szCs w:val="24"/>
        </w:rPr>
        <w:t>（一）公司基本情况</w:t>
      </w:r>
      <w:r>
        <w:rPr>
          <w:rFonts w:ascii="楷体" w:hAnsi="楷体" w:eastAsia="楷体"/>
          <w:sz w:val="24"/>
          <w:szCs w:val="24"/>
        </w:rPr>
        <w:tab/>
      </w:r>
      <w:r>
        <w:rPr>
          <w:rFonts w:ascii="楷体" w:hAnsi="楷体" w:eastAsia="楷体" w:cs="楷体"/>
          <w:sz w:val="24"/>
          <w:szCs w:val="24"/>
        </w:rPr>
        <w:t>4</w:t>
      </w:r>
      <w:r>
        <w:rPr>
          <w:rFonts w:ascii="楷体" w:hAnsi="楷体" w:eastAsia="楷体" w:cs="楷体"/>
          <w:sz w:val="24"/>
          <w:szCs w:val="24"/>
        </w:rPr>
        <w:fldChar w:fldCharType="end"/>
      </w:r>
    </w:p>
    <w:p>
      <w:pPr>
        <w:pStyle w:val="18"/>
        <w:tabs>
          <w:tab w:val="right" w:leader="dot" w:pos="9525"/>
        </w:tabs>
        <w:spacing w:line="460" w:lineRule="exact"/>
        <w:ind w:left="31680"/>
        <w:rPr>
          <w:rFonts w:ascii="楷体" w:hAnsi="楷体" w:eastAsia="楷体"/>
          <w:sz w:val="24"/>
          <w:szCs w:val="24"/>
        </w:rPr>
      </w:pPr>
      <w:r>
        <w:fldChar w:fldCharType="begin"/>
      </w:r>
      <w:r>
        <w:instrText xml:space="preserve"> HYPERLINK \l "_Toc7417" </w:instrText>
      </w:r>
      <w:r>
        <w:fldChar w:fldCharType="separate"/>
      </w:r>
      <w:r>
        <w:rPr>
          <w:rFonts w:hint="eastAsia" w:ascii="楷体" w:hAnsi="楷体" w:eastAsia="楷体" w:cs="楷体"/>
          <w:sz w:val="24"/>
          <w:szCs w:val="24"/>
        </w:rPr>
        <w:t>（二）公司治理结构</w:t>
      </w:r>
      <w:r>
        <w:rPr>
          <w:rFonts w:ascii="楷体" w:hAnsi="楷体" w:eastAsia="楷体"/>
          <w:sz w:val="24"/>
          <w:szCs w:val="24"/>
        </w:rPr>
        <w:tab/>
      </w:r>
      <w:r>
        <w:rPr>
          <w:rFonts w:ascii="楷体" w:hAnsi="楷体" w:eastAsia="楷体" w:cs="楷体"/>
          <w:sz w:val="24"/>
          <w:szCs w:val="24"/>
        </w:rPr>
        <w:fldChar w:fldCharType="begin"/>
      </w:r>
      <w:r>
        <w:rPr>
          <w:rFonts w:ascii="楷体" w:hAnsi="楷体" w:eastAsia="楷体" w:cs="楷体"/>
          <w:sz w:val="24"/>
          <w:szCs w:val="24"/>
        </w:rPr>
        <w:instrText xml:space="preserve"> PAGEREF _Toc7417 </w:instrText>
      </w:r>
      <w:r>
        <w:rPr>
          <w:rFonts w:ascii="楷体" w:hAnsi="楷体" w:eastAsia="楷体" w:cs="楷体"/>
          <w:sz w:val="24"/>
          <w:szCs w:val="24"/>
        </w:rPr>
        <w:fldChar w:fldCharType="separate"/>
      </w:r>
      <w:r>
        <w:rPr>
          <w:rFonts w:ascii="楷体" w:hAnsi="楷体" w:eastAsia="楷体" w:cs="楷体"/>
          <w:sz w:val="24"/>
          <w:szCs w:val="24"/>
        </w:rPr>
        <w:t>2</w:t>
      </w:r>
      <w:r>
        <w:rPr>
          <w:rFonts w:ascii="楷体" w:hAnsi="楷体" w:eastAsia="楷体" w:cs="楷体"/>
          <w:sz w:val="24"/>
          <w:szCs w:val="24"/>
        </w:rPr>
        <w:fldChar w:fldCharType="end"/>
      </w:r>
      <w:r>
        <w:rPr>
          <w:rFonts w:ascii="楷体" w:hAnsi="楷体" w:eastAsia="楷体" w:cs="楷体"/>
          <w:sz w:val="24"/>
          <w:szCs w:val="24"/>
        </w:rPr>
        <w:fldChar w:fldCharType="end"/>
      </w:r>
    </w:p>
    <w:p>
      <w:pPr>
        <w:pStyle w:val="18"/>
        <w:tabs>
          <w:tab w:val="right" w:leader="dot" w:pos="9525"/>
        </w:tabs>
        <w:spacing w:line="460" w:lineRule="exact"/>
        <w:ind w:left="31680"/>
        <w:rPr>
          <w:rFonts w:ascii="楷体" w:hAnsi="楷体" w:eastAsia="楷体"/>
          <w:sz w:val="24"/>
          <w:szCs w:val="24"/>
        </w:rPr>
      </w:pPr>
      <w:r>
        <w:fldChar w:fldCharType="begin"/>
      </w:r>
      <w:r>
        <w:instrText xml:space="preserve"> HYPERLINK \l "_Toc22686" </w:instrText>
      </w:r>
      <w:r>
        <w:fldChar w:fldCharType="separate"/>
      </w:r>
      <w:r>
        <w:rPr>
          <w:rFonts w:hint="eastAsia" w:ascii="楷体" w:hAnsi="楷体" w:eastAsia="楷体" w:cs="楷体"/>
          <w:sz w:val="24"/>
          <w:szCs w:val="24"/>
        </w:rPr>
        <w:t>（三）</w:t>
      </w:r>
      <w:r>
        <w:rPr>
          <w:rFonts w:ascii="楷体" w:hAnsi="楷体" w:eastAsia="楷体" w:cs="楷体"/>
          <w:sz w:val="24"/>
          <w:szCs w:val="24"/>
        </w:rPr>
        <w:t>20</w:t>
      </w:r>
      <w:r>
        <w:rPr>
          <w:rFonts w:hint="eastAsia" w:ascii="楷体" w:hAnsi="楷体" w:eastAsia="楷体" w:cs="楷体"/>
          <w:sz w:val="24"/>
          <w:szCs w:val="24"/>
          <w:lang w:val="en-US" w:eastAsia="zh-CN"/>
        </w:rPr>
        <w:t>23</w:t>
      </w:r>
      <w:r>
        <w:rPr>
          <w:rFonts w:hint="eastAsia" w:ascii="楷体" w:hAnsi="楷体" w:eastAsia="楷体" w:cs="楷体"/>
          <w:sz w:val="24"/>
          <w:szCs w:val="24"/>
        </w:rPr>
        <w:t>年经营概况</w:t>
      </w:r>
      <w:r>
        <w:rPr>
          <w:rFonts w:ascii="楷体" w:hAnsi="楷体" w:eastAsia="楷体"/>
          <w:sz w:val="24"/>
          <w:szCs w:val="24"/>
        </w:rPr>
        <w:tab/>
      </w:r>
      <w:r>
        <w:rPr>
          <w:rFonts w:ascii="楷体" w:hAnsi="楷体" w:eastAsia="楷体" w:cs="楷体"/>
          <w:sz w:val="24"/>
          <w:szCs w:val="24"/>
        </w:rPr>
        <w:t>5</w:t>
      </w:r>
      <w:r>
        <w:rPr>
          <w:rFonts w:ascii="楷体" w:hAnsi="楷体" w:eastAsia="楷体" w:cs="楷体"/>
          <w:sz w:val="24"/>
          <w:szCs w:val="24"/>
        </w:rPr>
        <w:fldChar w:fldCharType="end"/>
      </w:r>
    </w:p>
    <w:p>
      <w:pPr>
        <w:pStyle w:val="17"/>
        <w:tabs>
          <w:tab w:val="right" w:leader="dot" w:pos="9525"/>
        </w:tabs>
        <w:spacing w:line="460" w:lineRule="exact"/>
        <w:rPr>
          <w:rFonts w:ascii="楷体" w:hAnsi="楷体" w:eastAsia="楷体"/>
          <w:sz w:val="24"/>
          <w:szCs w:val="24"/>
        </w:rPr>
      </w:pPr>
      <w:r>
        <w:fldChar w:fldCharType="begin"/>
      </w:r>
      <w:r>
        <w:instrText xml:space="preserve"> HYPERLINK \l "_Toc1778" </w:instrText>
      </w:r>
      <w:r>
        <w:fldChar w:fldCharType="separate"/>
      </w:r>
      <w:r>
        <w:rPr>
          <w:rFonts w:hint="eastAsia" w:ascii="楷体" w:hAnsi="楷体" w:eastAsia="楷体" w:cs="楷体"/>
          <w:sz w:val="24"/>
          <w:szCs w:val="24"/>
        </w:rPr>
        <w:t>二、公司对社会责任的认识</w:t>
      </w:r>
      <w:r>
        <w:rPr>
          <w:rFonts w:ascii="楷体" w:hAnsi="楷体" w:eastAsia="楷体"/>
          <w:sz w:val="24"/>
          <w:szCs w:val="24"/>
        </w:rPr>
        <w:tab/>
      </w:r>
      <w:r>
        <w:rPr>
          <w:rFonts w:ascii="楷体" w:hAnsi="楷体" w:eastAsia="楷体" w:cs="楷体"/>
          <w:sz w:val="24"/>
          <w:szCs w:val="24"/>
        </w:rPr>
        <w:t>5</w:t>
      </w:r>
      <w:r>
        <w:rPr>
          <w:rFonts w:ascii="楷体" w:hAnsi="楷体" w:eastAsia="楷体" w:cs="楷体"/>
          <w:sz w:val="24"/>
          <w:szCs w:val="24"/>
        </w:rPr>
        <w:fldChar w:fldCharType="end"/>
      </w:r>
    </w:p>
    <w:p>
      <w:pPr>
        <w:pStyle w:val="17"/>
        <w:tabs>
          <w:tab w:val="right" w:leader="dot" w:pos="9525"/>
        </w:tabs>
        <w:spacing w:line="460" w:lineRule="exact"/>
        <w:rPr>
          <w:rFonts w:ascii="楷体" w:hAnsi="楷体" w:eastAsia="楷体"/>
          <w:sz w:val="24"/>
          <w:szCs w:val="24"/>
        </w:rPr>
      </w:pPr>
      <w:r>
        <w:fldChar w:fldCharType="begin"/>
      </w:r>
      <w:r>
        <w:instrText xml:space="preserve"> HYPERLINK \l "_Toc16606" </w:instrText>
      </w:r>
      <w:r>
        <w:fldChar w:fldCharType="separate"/>
      </w:r>
      <w:r>
        <w:rPr>
          <w:rFonts w:hint="eastAsia" w:ascii="楷体" w:hAnsi="楷体" w:eastAsia="楷体" w:cs="楷体"/>
          <w:sz w:val="24"/>
          <w:szCs w:val="24"/>
        </w:rPr>
        <w:t>三、在促进经济可持续发展方面履行的社会责任</w:t>
      </w:r>
      <w:r>
        <w:rPr>
          <w:rFonts w:ascii="楷体" w:hAnsi="楷体" w:eastAsia="楷体"/>
          <w:sz w:val="24"/>
          <w:szCs w:val="24"/>
        </w:rPr>
        <w:tab/>
      </w:r>
      <w:r>
        <w:rPr>
          <w:rFonts w:ascii="楷体" w:hAnsi="楷体" w:eastAsia="楷体" w:cs="楷体"/>
          <w:sz w:val="24"/>
          <w:szCs w:val="24"/>
        </w:rPr>
        <w:t>6</w:t>
      </w:r>
      <w:r>
        <w:rPr>
          <w:rFonts w:ascii="楷体" w:hAnsi="楷体" w:eastAsia="楷体" w:cs="楷体"/>
          <w:sz w:val="24"/>
          <w:szCs w:val="24"/>
        </w:rPr>
        <w:fldChar w:fldCharType="end"/>
      </w:r>
    </w:p>
    <w:p>
      <w:pPr>
        <w:pStyle w:val="18"/>
        <w:tabs>
          <w:tab w:val="right" w:leader="dot" w:pos="9525"/>
        </w:tabs>
        <w:spacing w:line="460" w:lineRule="exact"/>
        <w:ind w:left="31680"/>
        <w:rPr>
          <w:rFonts w:ascii="楷体" w:hAnsi="楷体" w:eastAsia="楷体"/>
          <w:sz w:val="24"/>
          <w:szCs w:val="24"/>
        </w:rPr>
      </w:pPr>
      <w:r>
        <w:fldChar w:fldCharType="begin"/>
      </w:r>
      <w:r>
        <w:instrText xml:space="preserve"> HYPERLINK \l "_Toc19024" </w:instrText>
      </w:r>
      <w:r>
        <w:fldChar w:fldCharType="separate"/>
      </w:r>
      <w:r>
        <w:rPr>
          <w:rFonts w:hint="eastAsia" w:ascii="楷体" w:hAnsi="楷体" w:eastAsia="楷体" w:cs="楷体"/>
          <w:sz w:val="24"/>
          <w:szCs w:val="24"/>
        </w:rPr>
        <w:t>（一）完善公司治理，合法合规经营</w:t>
      </w:r>
      <w:r>
        <w:rPr>
          <w:rFonts w:ascii="楷体" w:hAnsi="楷体" w:eastAsia="楷体"/>
          <w:sz w:val="24"/>
          <w:szCs w:val="24"/>
        </w:rPr>
        <w:tab/>
      </w:r>
      <w:r>
        <w:rPr>
          <w:rFonts w:ascii="楷体" w:hAnsi="楷体" w:eastAsia="楷体" w:cs="楷体"/>
          <w:sz w:val="24"/>
          <w:szCs w:val="24"/>
        </w:rPr>
        <w:t>6</w:t>
      </w:r>
      <w:r>
        <w:rPr>
          <w:rFonts w:ascii="楷体" w:hAnsi="楷体" w:eastAsia="楷体" w:cs="楷体"/>
          <w:sz w:val="24"/>
          <w:szCs w:val="24"/>
        </w:rPr>
        <w:fldChar w:fldCharType="end"/>
      </w:r>
    </w:p>
    <w:p>
      <w:pPr>
        <w:pStyle w:val="18"/>
        <w:tabs>
          <w:tab w:val="right" w:leader="dot" w:pos="9525"/>
        </w:tabs>
        <w:spacing w:line="460" w:lineRule="exact"/>
        <w:ind w:left="31680"/>
        <w:rPr>
          <w:rFonts w:ascii="楷体" w:hAnsi="楷体" w:eastAsia="楷体"/>
          <w:sz w:val="24"/>
          <w:szCs w:val="24"/>
        </w:rPr>
      </w:pPr>
      <w:r>
        <w:fldChar w:fldCharType="begin"/>
      </w:r>
      <w:r>
        <w:instrText xml:space="preserve"> HYPERLINK \l "_Toc13960" </w:instrText>
      </w:r>
      <w:r>
        <w:fldChar w:fldCharType="separate"/>
      </w:r>
      <w:r>
        <w:rPr>
          <w:rFonts w:hint="eastAsia" w:ascii="楷体" w:hAnsi="楷体" w:eastAsia="楷体" w:cs="楷体"/>
          <w:sz w:val="24"/>
          <w:szCs w:val="24"/>
        </w:rPr>
        <w:t>（二）依法诚信纳税</w:t>
      </w:r>
      <w:r>
        <w:rPr>
          <w:rFonts w:ascii="楷体" w:hAnsi="楷体" w:eastAsia="楷体"/>
          <w:sz w:val="24"/>
          <w:szCs w:val="24"/>
        </w:rPr>
        <w:tab/>
      </w:r>
      <w:r>
        <w:rPr>
          <w:rFonts w:ascii="楷体" w:hAnsi="楷体" w:eastAsia="楷体" w:cs="楷体"/>
          <w:sz w:val="24"/>
          <w:szCs w:val="24"/>
        </w:rPr>
        <w:t>6</w:t>
      </w:r>
      <w:r>
        <w:rPr>
          <w:rFonts w:ascii="楷体" w:hAnsi="楷体" w:eastAsia="楷体" w:cs="楷体"/>
          <w:sz w:val="24"/>
          <w:szCs w:val="24"/>
        </w:rPr>
        <w:fldChar w:fldCharType="end"/>
      </w:r>
    </w:p>
    <w:p>
      <w:pPr>
        <w:pStyle w:val="18"/>
        <w:tabs>
          <w:tab w:val="right" w:leader="dot" w:pos="9525"/>
        </w:tabs>
        <w:spacing w:line="460" w:lineRule="exact"/>
        <w:ind w:left="31680"/>
        <w:rPr>
          <w:rFonts w:ascii="楷体" w:hAnsi="楷体" w:eastAsia="楷体"/>
          <w:sz w:val="24"/>
          <w:szCs w:val="24"/>
        </w:rPr>
      </w:pPr>
      <w:r>
        <w:fldChar w:fldCharType="begin"/>
      </w:r>
      <w:r>
        <w:instrText xml:space="preserve"> HYPERLINK \l "_Toc3493" </w:instrText>
      </w:r>
      <w:r>
        <w:fldChar w:fldCharType="separate"/>
      </w:r>
      <w:r>
        <w:rPr>
          <w:rFonts w:hint="eastAsia" w:ascii="楷体" w:hAnsi="楷体" w:eastAsia="楷体" w:cs="楷体"/>
          <w:sz w:val="24"/>
          <w:szCs w:val="24"/>
        </w:rPr>
        <w:t>（三）构建和谐的投资者关系</w:t>
      </w:r>
      <w:r>
        <w:rPr>
          <w:rFonts w:ascii="楷体" w:hAnsi="楷体" w:eastAsia="楷体"/>
          <w:sz w:val="24"/>
          <w:szCs w:val="24"/>
        </w:rPr>
        <w:tab/>
      </w:r>
      <w:r>
        <w:rPr>
          <w:rFonts w:ascii="楷体" w:hAnsi="楷体" w:eastAsia="楷体" w:cs="楷体"/>
          <w:sz w:val="24"/>
          <w:szCs w:val="24"/>
        </w:rPr>
        <w:fldChar w:fldCharType="begin"/>
      </w:r>
      <w:r>
        <w:rPr>
          <w:rFonts w:ascii="楷体" w:hAnsi="楷体" w:eastAsia="楷体" w:cs="楷体"/>
          <w:sz w:val="24"/>
          <w:szCs w:val="24"/>
        </w:rPr>
        <w:instrText xml:space="preserve"> PAGEREF _Toc3493 </w:instrText>
      </w:r>
      <w:r>
        <w:rPr>
          <w:rFonts w:ascii="楷体" w:hAnsi="楷体" w:eastAsia="楷体" w:cs="楷体"/>
          <w:sz w:val="24"/>
          <w:szCs w:val="24"/>
        </w:rPr>
        <w:fldChar w:fldCharType="separate"/>
      </w:r>
      <w:r>
        <w:rPr>
          <w:rFonts w:ascii="楷体" w:hAnsi="楷体" w:eastAsia="楷体" w:cs="楷体"/>
          <w:sz w:val="24"/>
          <w:szCs w:val="24"/>
        </w:rPr>
        <w:t>2</w:t>
      </w:r>
      <w:r>
        <w:rPr>
          <w:rFonts w:ascii="楷体" w:hAnsi="楷体" w:eastAsia="楷体" w:cs="楷体"/>
          <w:sz w:val="24"/>
          <w:szCs w:val="24"/>
        </w:rPr>
        <w:fldChar w:fldCharType="end"/>
      </w:r>
      <w:r>
        <w:rPr>
          <w:rFonts w:ascii="楷体" w:hAnsi="楷体" w:eastAsia="楷体" w:cs="楷体"/>
          <w:sz w:val="24"/>
          <w:szCs w:val="24"/>
        </w:rPr>
        <w:fldChar w:fldCharType="end"/>
      </w:r>
    </w:p>
    <w:p>
      <w:pPr>
        <w:pStyle w:val="18"/>
        <w:tabs>
          <w:tab w:val="right" w:leader="dot" w:pos="9525"/>
        </w:tabs>
        <w:spacing w:line="460" w:lineRule="exact"/>
        <w:ind w:left="31680"/>
        <w:rPr>
          <w:rFonts w:ascii="楷体" w:hAnsi="楷体" w:eastAsia="楷体"/>
          <w:sz w:val="24"/>
          <w:szCs w:val="24"/>
        </w:rPr>
      </w:pPr>
      <w:r>
        <w:fldChar w:fldCharType="begin"/>
      </w:r>
      <w:r>
        <w:instrText xml:space="preserve"> HYPERLINK \l "_Toc21683" </w:instrText>
      </w:r>
      <w:r>
        <w:fldChar w:fldCharType="separate"/>
      </w:r>
      <w:r>
        <w:rPr>
          <w:rFonts w:hint="eastAsia" w:ascii="楷体" w:hAnsi="楷体" w:eastAsia="楷体" w:cs="楷体"/>
          <w:sz w:val="24"/>
          <w:szCs w:val="24"/>
        </w:rPr>
        <w:t>（四）为客户提供高质量的产品和服务</w:t>
      </w:r>
      <w:r>
        <w:rPr>
          <w:rFonts w:ascii="楷体" w:hAnsi="楷体" w:eastAsia="楷体"/>
          <w:sz w:val="24"/>
          <w:szCs w:val="24"/>
        </w:rPr>
        <w:tab/>
      </w:r>
      <w:r>
        <w:rPr>
          <w:rFonts w:ascii="楷体" w:hAnsi="楷体" w:eastAsia="楷体" w:cs="楷体"/>
          <w:sz w:val="24"/>
          <w:szCs w:val="24"/>
        </w:rPr>
        <w:t>7</w:t>
      </w:r>
      <w:r>
        <w:rPr>
          <w:rFonts w:ascii="楷体" w:hAnsi="楷体" w:eastAsia="楷体" w:cs="楷体"/>
          <w:sz w:val="24"/>
          <w:szCs w:val="24"/>
        </w:rPr>
        <w:fldChar w:fldCharType="end"/>
      </w:r>
    </w:p>
    <w:p>
      <w:pPr>
        <w:pStyle w:val="17"/>
        <w:tabs>
          <w:tab w:val="right" w:leader="dot" w:pos="9525"/>
        </w:tabs>
        <w:spacing w:line="460" w:lineRule="exact"/>
        <w:rPr>
          <w:rFonts w:ascii="楷体" w:hAnsi="楷体" w:eastAsia="楷体"/>
          <w:sz w:val="24"/>
          <w:szCs w:val="24"/>
        </w:rPr>
      </w:pPr>
      <w:r>
        <w:fldChar w:fldCharType="begin"/>
      </w:r>
      <w:r>
        <w:instrText xml:space="preserve"> HYPERLINK \l "_Toc31566" </w:instrText>
      </w:r>
      <w:r>
        <w:fldChar w:fldCharType="separate"/>
      </w:r>
      <w:r>
        <w:rPr>
          <w:rFonts w:hint="eastAsia" w:ascii="楷体" w:hAnsi="楷体" w:eastAsia="楷体" w:cs="楷体"/>
          <w:sz w:val="24"/>
          <w:szCs w:val="24"/>
        </w:rPr>
        <w:t>四、在促进环境及生态可持续发展方面履行的社会责任</w:t>
      </w:r>
      <w:r>
        <w:rPr>
          <w:rFonts w:ascii="楷体" w:hAnsi="楷体" w:eastAsia="楷体"/>
          <w:sz w:val="24"/>
          <w:szCs w:val="24"/>
        </w:rPr>
        <w:tab/>
      </w:r>
      <w:r>
        <w:rPr>
          <w:rFonts w:ascii="楷体" w:hAnsi="楷体" w:eastAsia="楷体" w:cs="楷体"/>
          <w:sz w:val="24"/>
          <w:szCs w:val="24"/>
        </w:rPr>
        <w:t>8</w:t>
      </w:r>
      <w:r>
        <w:rPr>
          <w:rFonts w:ascii="楷体" w:hAnsi="楷体" w:eastAsia="楷体" w:cs="楷体"/>
          <w:sz w:val="24"/>
          <w:szCs w:val="24"/>
        </w:rPr>
        <w:fldChar w:fldCharType="end"/>
      </w:r>
    </w:p>
    <w:p>
      <w:pPr>
        <w:pStyle w:val="18"/>
        <w:tabs>
          <w:tab w:val="right" w:leader="dot" w:pos="9525"/>
        </w:tabs>
        <w:spacing w:line="460" w:lineRule="exact"/>
        <w:ind w:left="31680"/>
        <w:rPr>
          <w:rFonts w:ascii="楷体" w:hAnsi="楷体" w:eastAsia="楷体"/>
          <w:sz w:val="24"/>
          <w:szCs w:val="24"/>
        </w:rPr>
      </w:pPr>
      <w:r>
        <w:fldChar w:fldCharType="begin"/>
      </w:r>
      <w:r>
        <w:instrText xml:space="preserve"> HYPERLINK \l "_Toc12636" </w:instrText>
      </w:r>
      <w:r>
        <w:fldChar w:fldCharType="separate"/>
      </w:r>
      <w:r>
        <w:rPr>
          <w:rFonts w:hint="eastAsia" w:ascii="楷体" w:hAnsi="楷体" w:eastAsia="楷体" w:cs="楷体"/>
          <w:sz w:val="24"/>
          <w:szCs w:val="24"/>
        </w:rPr>
        <w:t>（一）注重能源节约</w:t>
      </w:r>
      <w:r>
        <w:rPr>
          <w:rFonts w:ascii="楷体" w:hAnsi="楷体" w:eastAsia="楷体"/>
          <w:sz w:val="24"/>
          <w:szCs w:val="24"/>
        </w:rPr>
        <w:tab/>
      </w:r>
      <w:r>
        <w:rPr>
          <w:rFonts w:ascii="楷体" w:hAnsi="楷体" w:eastAsia="楷体" w:cs="楷体"/>
          <w:sz w:val="24"/>
          <w:szCs w:val="24"/>
        </w:rPr>
        <w:t>8</w:t>
      </w:r>
      <w:r>
        <w:rPr>
          <w:rFonts w:ascii="楷体" w:hAnsi="楷体" w:eastAsia="楷体" w:cs="楷体"/>
          <w:sz w:val="24"/>
          <w:szCs w:val="24"/>
        </w:rPr>
        <w:fldChar w:fldCharType="end"/>
      </w:r>
    </w:p>
    <w:p>
      <w:pPr>
        <w:pStyle w:val="18"/>
        <w:tabs>
          <w:tab w:val="right" w:leader="dot" w:pos="9525"/>
        </w:tabs>
        <w:spacing w:line="460" w:lineRule="exact"/>
        <w:ind w:left="31680"/>
        <w:rPr>
          <w:rFonts w:ascii="楷体" w:hAnsi="楷体" w:eastAsia="楷体"/>
          <w:sz w:val="24"/>
          <w:szCs w:val="24"/>
        </w:rPr>
      </w:pPr>
      <w:r>
        <w:fldChar w:fldCharType="begin"/>
      </w:r>
      <w:r>
        <w:instrText xml:space="preserve"> HYPERLINK \l "_Toc31234" </w:instrText>
      </w:r>
      <w:r>
        <w:fldChar w:fldCharType="separate"/>
      </w:r>
      <w:r>
        <w:rPr>
          <w:rFonts w:hint="eastAsia" w:ascii="楷体" w:hAnsi="楷体" w:eastAsia="楷体" w:cs="楷体"/>
          <w:sz w:val="24"/>
          <w:szCs w:val="24"/>
        </w:rPr>
        <w:t>（二）注重清洁生产过程</w:t>
      </w:r>
      <w:r>
        <w:rPr>
          <w:rFonts w:ascii="楷体" w:hAnsi="楷体" w:eastAsia="楷体"/>
          <w:sz w:val="24"/>
          <w:szCs w:val="24"/>
        </w:rPr>
        <w:tab/>
      </w:r>
      <w:r>
        <w:rPr>
          <w:rFonts w:ascii="楷体" w:hAnsi="楷体" w:eastAsia="楷体" w:cs="楷体"/>
          <w:sz w:val="24"/>
          <w:szCs w:val="24"/>
        </w:rPr>
        <w:t>9</w:t>
      </w:r>
      <w:r>
        <w:rPr>
          <w:rFonts w:ascii="楷体" w:hAnsi="楷体" w:eastAsia="楷体" w:cs="楷体"/>
          <w:sz w:val="24"/>
          <w:szCs w:val="24"/>
        </w:rPr>
        <w:fldChar w:fldCharType="end"/>
      </w:r>
    </w:p>
    <w:p>
      <w:pPr>
        <w:pStyle w:val="18"/>
        <w:tabs>
          <w:tab w:val="right" w:leader="dot" w:pos="9525"/>
        </w:tabs>
        <w:spacing w:line="460" w:lineRule="exact"/>
        <w:ind w:left="31680"/>
        <w:rPr>
          <w:rFonts w:ascii="楷体" w:hAnsi="楷体" w:eastAsia="楷体"/>
          <w:sz w:val="24"/>
          <w:szCs w:val="24"/>
        </w:rPr>
      </w:pPr>
      <w:r>
        <w:fldChar w:fldCharType="begin"/>
      </w:r>
      <w:r>
        <w:instrText xml:space="preserve"> HYPERLINK \l "_Toc26188" </w:instrText>
      </w:r>
      <w:r>
        <w:fldChar w:fldCharType="separate"/>
      </w:r>
      <w:r>
        <w:rPr>
          <w:rFonts w:hint="eastAsia" w:ascii="楷体" w:hAnsi="楷体" w:eastAsia="楷体" w:cs="楷体"/>
          <w:sz w:val="24"/>
          <w:szCs w:val="24"/>
        </w:rPr>
        <w:t>（三）注重强化创新驱动</w:t>
      </w:r>
      <w:r>
        <w:rPr>
          <w:rFonts w:ascii="楷体" w:hAnsi="楷体" w:eastAsia="楷体"/>
          <w:sz w:val="24"/>
          <w:szCs w:val="24"/>
        </w:rPr>
        <w:tab/>
      </w:r>
      <w:r>
        <w:rPr>
          <w:rFonts w:ascii="楷体" w:hAnsi="楷体" w:eastAsia="楷体" w:cs="楷体"/>
          <w:sz w:val="24"/>
          <w:szCs w:val="24"/>
        </w:rPr>
        <w:t>9</w:t>
      </w:r>
      <w:r>
        <w:rPr>
          <w:rFonts w:ascii="楷体" w:hAnsi="楷体" w:eastAsia="楷体" w:cs="楷体"/>
          <w:sz w:val="24"/>
          <w:szCs w:val="24"/>
        </w:rPr>
        <w:fldChar w:fldCharType="end"/>
      </w:r>
    </w:p>
    <w:p>
      <w:pPr>
        <w:pStyle w:val="17"/>
        <w:tabs>
          <w:tab w:val="right" w:leader="dot" w:pos="9525"/>
        </w:tabs>
        <w:spacing w:line="460" w:lineRule="exact"/>
        <w:rPr>
          <w:rFonts w:ascii="楷体" w:hAnsi="楷体" w:eastAsia="楷体" w:cs="楷体"/>
          <w:sz w:val="24"/>
          <w:szCs w:val="24"/>
        </w:rPr>
      </w:pPr>
      <w:r>
        <w:fldChar w:fldCharType="begin"/>
      </w:r>
      <w:r>
        <w:instrText xml:space="preserve"> HYPERLINK \l "_Toc31407" </w:instrText>
      </w:r>
      <w:r>
        <w:fldChar w:fldCharType="separate"/>
      </w:r>
      <w:r>
        <w:rPr>
          <w:rFonts w:hint="eastAsia" w:ascii="楷体" w:hAnsi="楷体" w:eastAsia="楷体" w:cs="楷体"/>
          <w:sz w:val="24"/>
          <w:szCs w:val="24"/>
        </w:rPr>
        <w:t>五、在促进社会可持续发展方面履行的社会责任</w:t>
      </w:r>
      <w:r>
        <w:rPr>
          <w:rFonts w:ascii="楷体" w:hAnsi="楷体" w:eastAsia="楷体"/>
          <w:sz w:val="24"/>
          <w:szCs w:val="24"/>
        </w:rPr>
        <w:tab/>
      </w:r>
      <w:r>
        <w:rPr>
          <w:rFonts w:ascii="楷体" w:hAnsi="楷体" w:eastAsia="楷体" w:cs="楷体"/>
          <w:sz w:val="24"/>
          <w:szCs w:val="24"/>
        </w:rPr>
        <w:t>1</w:t>
      </w:r>
      <w:r>
        <w:rPr>
          <w:rFonts w:ascii="楷体" w:hAnsi="楷体" w:eastAsia="楷体" w:cs="楷体"/>
          <w:sz w:val="24"/>
          <w:szCs w:val="24"/>
        </w:rPr>
        <w:fldChar w:fldCharType="end"/>
      </w:r>
      <w:r>
        <w:rPr>
          <w:rFonts w:ascii="楷体" w:hAnsi="楷体" w:eastAsia="楷体" w:cs="楷体"/>
          <w:sz w:val="24"/>
          <w:szCs w:val="24"/>
        </w:rPr>
        <w:t>0</w:t>
      </w:r>
    </w:p>
    <w:p>
      <w:pPr>
        <w:pStyle w:val="18"/>
        <w:tabs>
          <w:tab w:val="right" w:leader="dot" w:pos="9525"/>
        </w:tabs>
        <w:spacing w:line="460" w:lineRule="exact"/>
        <w:ind w:left="31680"/>
        <w:rPr>
          <w:rFonts w:ascii="楷体" w:hAnsi="楷体" w:eastAsia="楷体" w:cs="楷体"/>
          <w:sz w:val="24"/>
          <w:szCs w:val="24"/>
        </w:rPr>
      </w:pPr>
      <w:r>
        <w:fldChar w:fldCharType="begin"/>
      </w:r>
      <w:r>
        <w:instrText xml:space="preserve"> HYPERLINK \l "_Toc28145" </w:instrText>
      </w:r>
      <w:r>
        <w:fldChar w:fldCharType="separate"/>
      </w:r>
      <w:r>
        <w:rPr>
          <w:rFonts w:hint="eastAsia" w:ascii="楷体" w:hAnsi="楷体" w:eastAsia="楷体" w:cs="楷体"/>
          <w:sz w:val="24"/>
          <w:szCs w:val="24"/>
        </w:rPr>
        <w:t>（一）保障股东权益</w:t>
      </w:r>
      <w:r>
        <w:rPr>
          <w:rFonts w:ascii="楷体" w:hAnsi="楷体" w:eastAsia="楷体"/>
          <w:sz w:val="24"/>
          <w:szCs w:val="24"/>
        </w:rPr>
        <w:tab/>
      </w:r>
      <w:r>
        <w:rPr>
          <w:rFonts w:ascii="楷体" w:hAnsi="楷体" w:eastAsia="楷体" w:cs="楷体"/>
          <w:sz w:val="24"/>
          <w:szCs w:val="24"/>
        </w:rPr>
        <w:t>1</w:t>
      </w:r>
      <w:r>
        <w:rPr>
          <w:rFonts w:ascii="楷体" w:hAnsi="楷体" w:eastAsia="楷体" w:cs="楷体"/>
          <w:sz w:val="24"/>
          <w:szCs w:val="24"/>
        </w:rPr>
        <w:fldChar w:fldCharType="end"/>
      </w:r>
      <w:r>
        <w:rPr>
          <w:rFonts w:ascii="楷体" w:hAnsi="楷体" w:eastAsia="楷体" w:cs="楷体"/>
          <w:sz w:val="24"/>
          <w:szCs w:val="24"/>
        </w:rPr>
        <w:t>0</w:t>
      </w:r>
    </w:p>
    <w:p>
      <w:pPr>
        <w:pStyle w:val="18"/>
        <w:tabs>
          <w:tab w:val="right" w:leader="dot" w:pos="9525"/>
        </w:tabs>
        <w:spacing w:line="460" w:lineRule="exact"/>
        <w:ind w:left="31680"/>
        <w:rPr>
          <w:rFonts w:ascii="楷体" w:hAnsi="楷体" w:eastAsia="楷体"/>
          <w:sz w:val="24"/>
          <w:szCs w:val="24"/>
        </w:rPr>
      </w:pPr>
      <w:r>
        <w:fldChar w:fldCharType="begin"/>
      </w:r>
      <w:r>
        <w:instrText xml:space="preserve"> HYPERLINK \l "_Toc3672" </w:instrText>
      </w:r>
      <w:r>
        <w:fldChar w:fldCharType="separate"/>
      </w:r>
      <w:r>
        <w:rPr>
          <w:rFonts w:hint="eastAsia" w:ascii="楷体" w:hAnsi="楷体" w:eastAsia="楷体" w:cs="楷体"/>
          <w:sz w:val="24"/>
          <w:szCs w:val="24"/>
        </w:rPr>
        <w:t>（二）</w:t>
      </w:r>
      <w:r>
        <w:rPr>
          <w:rFonts w:hint="eastAsia" w:ascii="楷体" w:hAnsi="楷体" w:eastAsia="楷体" w:cs="楷体"/>
          <w:sz w:val="24"/>
          <w:szCs w:val="24"/>
          <w:lang w:val="en-US" w:eastAsia="zh-CN"/>
        </w:rPr>
        <w:t>员工发展</w:t>
      </w:r>
      <w:r>
        <w:rPr>
          <w:rFonts w:ascii="楷体" w:hAnsi="楷体" w:eastAsia="楷体"/>
          <w:sz w:val="24"/>
          <w:szCs w:val="24"/>
        </w:rPr>
        <w:tab/>
      </w:r>
      <w:r>
        <w:rPr>
          <w:rFonts w:ascii="楷体" w:hAnsi="楷体" w:eastAsia="楷体" w:cs="楷体"/>
          <w:sz w:val="24"/>
          <w:szCs w:val="24"/>
        </w:rPr>
        <w:t>1</w:t>
      </w:r>
      <w:r>
        <w:rPr>
          <w:rFonts w:ascii="楷体" w:hAnsi="楷体" w:eastAsia="楷体" w:cs="楷体"/>
          <w:sz w:val="24"/>
          <w:szCs w:val="24"/>
        </w:rPr>
        <w:fldChar w:fldCharType="end"/>
      </w:r>
      <w:r>
        <w:rPr>
          <w:rFonts w:ascii="楷体" w:hAnsi="楷体" w:eastAsia="楷体" w:cs="楷体"/>
          <w:sz w:val="24"/>
          <w:szCs w:val="24"/>
        </w:rPr>
        <w:t>1</w:t>
      </w:r>
    </w:p>
    <w:p>
      <w:pPr>
        <w:pStyle w:val="18"/>
        <w:tabs>
          <w:tab w:val="right" w:leader="dot" w:pos="9525"/>
        </w:tabs>
        <w:spacing w:line="460" w:lineRule="exact"/>
        <w:ind w:left="31680"/>
        <w:rPr>
          <w:rFonts w:ascii="楷体" w:hAnsi="楷体" w:eastAsia="楷体"/>
          <w:sz w:val="24"/>
          <w:szCs w:val="24"/>
        </w:rPr>
      </w:pPr>
      <w:r>
        <w:fldChar w:fldCharType="begin"/>
      </w:r>
      <w:r>
        <w:instrText xml:space="preserve"> HYPERLINK \l "_Toc19413" </w:instrText>
      </w:r>
      <w:r>
        <w:fldChar w:fldCharType="separate"/>
      </w:r>
      <w:r>
        <w:rPr>
          <w:rFonts w:hint="eastAsia" w:ascii="楷体" w:hAnsi="楷体" w:eastAsia="楷体" w:cs="楷体"/>
          <w:sz w:val="24"/>
          <w:szCs w:val="24"/>
        </w:rPr>
        <w:t>（</w:t>
      </w:r>
      <w:r>
        <w:rPr>
          <w:rFonts w:hint="eastAsia" w:ascii="楷体" w:hAnsi="楷体" w:eastAsia="楷体" w:cs="楷体"/>
          <w:sz w:val="24"/>
          <w:szCs w:val="24"/>
          <w:lang w:val="en-US" w:eastAsia="zh-CN"/>
        </w:rPr>
        <w:t>三</w:t>
      </w:r>
      <w:r>
        <w:rPr>
          <w:rFonts w:hint="eastAsia" w:ascii="楷体" w:hAnsi="楷体" w:eastAsia="楷体" w:cs="楷体"/>
          <w:sz w:val="24"/>
          <w:szCs w:val="24"/>
        </w:rPr>
        <w:t>）加强安全生产</w:t>
      </w:r>
      <w:r>
        <w:rPr>
          <w:rFonts w:ascii="楷体" w:hAnsi="楷体" w:eastAsia="楷体"/>
          <w:sz w:val="24"/>
          <w:szCs w:val="24"/>
        </w:rPr>
        <w:tab/>
      </w:r>
      <w:r>
        <w:rPr>
          <w:rFonts w:ascii="楷体" w:hAnsi="楷体" w:eastAsia="楷体" w:cs="楷体"/>
          <w:sz w:val="24"/>
          <w:szCs w:val="24"/>
        </w:rPr>
        <w:fldChar w:fldCharType="begin"/>
      </w:r>
      <w:r>
        <w:rPr>
          <w:rFonts w:ascii="楷体" w:hAnsi="楷体" w:eastAsia="楷体" w:cs="楷体"/>
          <w:sz w:val="24"/>
          <w:szCs w:val="24"/>
        </w:rPr>
        <w:instrText xml:space="preserve"> PAGEREF _Toc19413 </w:instrText>
      </w:r>
      <w:r>
        <w:rPr>
          <w:rFonts w:ascii="楷体" w:hAnsi="楷体" w:eastAsia="楷体" w:cs="楷体"/>
          <w:sz w:val="24"/>
          <w:szCs w:val="24"/>
        </w:rPr>
        <w:fldChar w:fldCharType="separate"/>
      </w:r>
      <w:r>
        <w:rPr>
          <w:rFonts w:ascii="楷体" w:hAnsi="楷体" w:eastAsia="楷体" w:cs="楷体"/>
          <w:sz w:val="24"/>
          <w:szCs w:val="24"/>
        </w:rPr>
        <w:t>2</w:t>
      </w:r>
      <w:r>
        <w:rPr>
          <w:rFonts w:ascii="楷体" w:hAnsi="楷体" w:eastAsia="楷体" w:cs="楷体"/>
          <w:sz w:val="24"/>
          <w:szCs w:val="24"/>
        </w:rPr>
        <w:fldChar w:fldCharType="end"/>
      </w:r>
      <w:r>
        <w:rPr>
          <w:rFonts w:ascii="楷体" w:hAnsi="楷体" w:eastAsia="楷体" w:cs="楷体"/>
          <w:sz w:val="24"/>
          <w:szCs w:val="24"/>
        </w:rPr>
        <w:fldChar w:fldCharType="end"/>
      </w:r>
    </w:p>
    <w:p>
      <w:pPr>
        <w:pStyle w:val="18"/>
        <w:tabs>
          <w:tab w:val="right" w:leader="dot" w:pos="9525"/>
        </w:tabs>
        <w:spacing w:line="460" w:lineRule="exact"/>
        <w:ind w:left="31680"/>
        <w:rPr>
          <w:rFonts w:ascii="楷体" w:hAnsi="楷体" w:eastAsia="楷体"/>
          <w:sz w:val="24"/>
          <w:szCs w:val="24"/>
        </w:rPr>
      </w:pPr>
      <w:r>
        <w:fldChar w:fldCharType="begin"/>
      </w:r>
      <w:r>
        <w:instrText xml:space="preserve"> HYPERLINK \l "_Toc31799" </w:instrText>
      </w:r>
      <w:r>
        <w:fldChar w:fldCharType="separate"/>
      </w:r>
      <w:r>
        <w:rPr>
          <w:rFonts w:hint="eastAsia" w:ascii="楷体" w:hAnsi="楷体" w:eastAsia="楷体" w:cs="楷体"/>
          <w:sz w:val="24"/>
          <w:szCs w:val="24"/>
        </w:rPr>
        <w:t>（</w:t>
      </w:r>
      <w:r>
        <w:rPr>
          <w:rFonts w:hint="eastAsia" w:ascii="楷体" w:hAnsi="楷体" w:eastAsia="楷体" w:cs="楷体"/>
          <w:sz w:val="24"/>
          <w:szCs w:val="24"/>
          <w:lang w:val="en-US" w:eastAsia="zh-CN"/>
        </w:rPr>
        <w:t>四</w:t>
      </w:r>
      <w:r>
        <w:rPr>
          <w:rFonts w:hint="eastAsia" w:ascii="楷体" w:hAnsi="楷体" w:eastAsia="楷体" w:cs="楷体"/>
          <w:sz w:val="24"/>
          <w:szCs w:val="24"/>
        </w:rPr>
        <w:t>）积极投身公益</w:t>
      </w:r>
      <w:r>
        <w:rPr>
          <w:rFonts w:ascii="楷体" w:hAnsi="楷体" w:eastAsia="楷体"/>
          <w:sz w:val="24"/>
          <w:szCs w:val="24"/>
        </w:rPr>
        <w:tab/>
      </w:r>
      <w:r>
        <w:rPr>
          <w:rFonts w:ascii="楷体" w:hAnsi="楷体" w:eastAsia="楷体" w:cs="楷体"/>
          <w:sz w:val="24"/>
          <w:szCs w:val="24"/>
        </w:rPr>
        <w:fldChar w:fldCharType="begin"/>
      </w:r>
      <w:r>
        <w:rPr>
          <w:rFonts w:ascii="楷体" w:hAnsi="楷体" w:eastAsia="楷体" w:cs="楷体"/>
          <w:sz w:val="24"/>
          <w:szCs w:val="24"/>
        </w:rPr>
        <w:instrText xml:space="preserve"> PAGEREF _Toc31799 </w:instrText>
      </w:r>
      <w:r>
        <w:rPr>
          <w:rFonts w:ascii="楷体" w:hAnsi="楷体" w:eastAsia="楷体" w:cs="楷体"/>
          <w:sz w:val="24"/>
          <w:szCs w:val="24"/>
        </w:rPr>
        <w:fldChar w:fldCharType="separate"/>
      </w:r>
      <w:r>
        <w:rPr>
          <w:rFonts w:ascii="楷体" w:hAnsi="楷体" w:eastAsia="楷体" w:cs="楷体"/>
          <w:sz w:val="24"/>
          <w:szCs w:val="24"/>
        </w:rPr>
        <w:t>2</w:t>
      </w:r>
      <w:r>
        <w:rPr>
          <w:rFonts w:ascii="楷体" w:hAnsi="楷体" w:eastAsia="楷体" w:cs="楷体"/>
          <w:sz w:val="24"/>
          <w:szCs w:val="24"/>
        </w:rPr>
        <w:fldChar w:fldCharType="end"/>
      </w:r>
      <w:r>
        <w:rPr>
          <w:rFonts w:ascii="楷体" w:hAnsi="楷体" w:eastAsia="楷体" w:cs="楷体"/>
          <w:sz w:val="24"/>
          <w:szCs w:val="24"/>
        </w:rPr>
        <w:fldChar w:fldCharType="end"/>
      </w:r>
    </w:p>
    <w:p>
      <w:pPr>
        <w:pStyle w:val="17"/>
        <w:tabs>
          <w:tab w:val="right" w:leader="dot" w:pos="9525"/>
        </w:tabs>
        <w:spacing w:line="460" w:lineRule="exact"/>
        <w:rPr>
          <w:rFonts w:ascii="宋体"/>
          <w:sz w:val="24"/>
          <w:szCs w:val="24"/>
        </w:rPr>
      </w:pPr>
    </w:p>
    <w:p>
      <w:pPr>
        <w:spacing w:line="460" w:lineRule="exact"/>
        <w:ind w:firstLine="480" w:firstLineChars="200"/>
        <w:rPr>
          <w:rFonts w:ascii="??_GB2312" w:eastAsia="Times New Roman"/>
          <w:b/>
          <w:bCs/>
          <w:sz w:val="24"/>
          <w:szCs w:val="24"/>
        </w:rPr>
      </w:pPr>
      <w:r>
        <w:rPr>
          <w:rFonts w:ascii="宋体" w:hAnsi="宋体" w:cs="宋体"/>
          <w:sz w:val="24"/>
          <w:szCs w:val="24"/>
        </w:rPr>
        <w:fldChar w:fldCharType="end"/>
      </w:r>
    </w:p>
    <w:p>
      <w:pPr>
        <w:pStyle w:val="2"/>
        <w:rPr>
          <w:sz w:val="36"/>
          <w:szCs w:val="36"/>
        </w:rPr>
        <w:sectPr>
          <w:headerReference r:id="rId3" w:type="default"/>
          <w:footerReference r:id="rId4" w:type="default"/>
          <w:pgSz w:w="11906" w:h="16838"/>
          <w:pgMar w:top="1440" w:right="1134" w:bottom="1440" w:left="1247" w:header="851" w:footer="992" w:gutter="0"/>
          <w:cols w:space="0" w:num="1"/>
          <w:docGrid w:type="lines" w:linePitch="312" w:charSpace="0"/>
        </w:sectPr>
      </w:pPr>
      <w:bookmarkStart w:id="0" w:name="_Toc3844"/>
    </w:p>
    <w:p>
      <w:pPr>
        <w:pStyle w:val="2"/>
        <w:keepNext/>
        <w:keepLines/>
        <w:pageBreakBefore w:val="0"/>
        <w:widowControl w:val="0"/>
        <w:kinsoku/>
        <w:wordWrap/>
        <w:overflowPunct/>
        <w:topLinePunct w:val="0"/>
        <w:autoSpaceDE/>
        <w:autoSpaceDN/>
        <w:bidi w:val="0"/>
        <w:adjustRightInd/>
        <w:snapToGrid/>
        <w:spacing w:line="420" w:lineRule="exact"/>
        <w:textAlignment w:val="auto"/>
        <w:rPr>
          <w:sz w:val="36"/>
          <w:szCs w:val="36"/>
        </w:rPr>
      </w:pPr>
      <w:r>
        <w:rPr>
          <w:rFonts w:hint="eastAsia" w:cs="宋体"/>
          <w:sz w:val="36"/>
          <w:szCs w:val="36"/>
        </w:rPr>
        <w:t>一、公司概况</w:t>
      </w:r>
      <w:bookmarkEnd w:id="0"/>
    </w:p>
    <w:p>
      <w:pPr>
        <w:pStyle w:val="3"/>
        <w:keepNext/>
        <w:keepLines/>
        <w:pageBreakBefore w:val="0"/>
        <w:widowControl w:val="0"/>
        <w:kinsoku/>
        <w:wordWrap/>
        <w:overflowPunct/>
        <w:topLinePunct w:val="0"/>
        <w:autoSpaceDE/>
        <w:autoSpaceDN/>
        <w:bidi w:val="0"/>
        <w:adjustRightInd/>
        <w:snapToGrid/>
        <w:spacing w:line="420" w:lineRule="exact"/>
        <w:textAlignment w:val="auto"/>
        <w:rPr>
          <w:rFonts w:hint="eastAsia" w:cs="黑体"/>
          <w:b w:val="0"/>
          <w:bCs w:val="0"/>
          <w:sz w:val="30"/>
          <w:szCs w:val="30"/>
        </w:rPr>
      </w:pPr>
      <w:bookmarkStart w:id="1" w:name="_Toc12018"/>
      <w:r>
        <w:rPr>
          <w:rFonts w:hint="eastAsia" w:cs="黑体"/>
          <w:b w:val="0"/>
          <w:bCs w:val="0"/>
          <w:sz w:val="30"/>
          <w:szCs w:val="30"/>
        </w:rPr>
        <w:t>（一）公司基本情况</w:t>
      </w:r>
      <w:bookmarkEnd w:id="1"/>
    </w:p>
    <w:p>
      <w:pPr>
        <w:spacing w:line="360" w:lineRule="auto"/>
        <w:ind w:firstLine="480" w:firstLineChars="200"/>
        <w:rPr>
          <w:rFonts w:hint="eastAsia" w:ascii="??_GB2312" w:eastAsia="Times New Roman"/>
          <w:sz w:val="24"/>
          <w:szCs w:val="24"/>
          <w:lang w:val="en-US" w:eastAsia="zh-CN"/>
        </w:rPr>
      </w:pPr>
      <w:r>
        <w:rPr>
          <w:rFonts w:hint="eastAsia" w:ascii="??_GB2312" w:eastAsia="Times New Roman"/>
          <w:sz w:val="24"/>
          <w:szCs w:val="24"/>
          <w:lang w:val="en-US" w:eastAsia="zh-CN"/>
        </w:rPr>
        <w:t>浙江花园电气材料有限公司由花园集团于2009年投资创办占地200亩，注册资本38000万元，是一家以铜板、铜带、铜排、铜棒系列产品为主体，集设计、研发、生产销售于一体的专业铜产品加工企业。</w:t>
      </w:r>
    </w:p>
    <w:p>
      <w:pPr>
        <w:spacing w:line="360" w:lineRule="auto"/>
        <w:ind w:firstLine="480" w:firstLineChars="200"/>
        <w:rPr>
          <w:rFonts w:hint="eastAsia" w:ascii="??_GB2312" w:eastAsia="Times New Roman"/>
          <w:sz w:val="24"/>
          <w:szCs w:val="24"/>
          <w:lang w:val="en-US" w:eastAsia="zh-CN"/>
        </w:rPr>
      </w:pPr>
      <w:r>
        <w:rPr>
          <w:rFonts w:hint="eastAsia" w:ascii="??_GB2312" w:eastAsia="Times New Roman"/>
          <w:sz w:val="24"/>
          <w:szCs w:val="24"/>
          <w:lang w:val="en-US" w:eastAsia="zh-CN"/>
        </w:rPr>
        <w:t>公司技术力量雄厚，现有员工230人，其中机械、液压、电气、工艺、研发等各类专业工程技术人员50人。同时聘请国内铜加工行业知名专家担任技术顾问，在生产过程中，亲临现场参与产品研发、工艺改进及设备升级，成为公司发展强有力技术后盾。</w:t>
      </w:r>
    </w:p>
    <w:p>
      <w:pPr>
        <w:spacing w:line="360" w:lineRule="auto"/>
        <w:ind w:firstLine="480" w:firstLineChars="200"/>
        <w:rPr>
          <w:rFonts w:hint="eastAsia" w:ascii="??_GB2312" w:eastAsia="Times New Roman"/>
          <w:sz w:val="24"/>
          <w:szCs w:val="24"/>
          <w:lang w:val="en-US" w:eastAsia="zh-CN"/>
        </w:rPr>
      </w:pPr>
      <w:r>
        <w:rPr>
          <w:rFonts w:hint="eastAsia" w:ascii="??_GB2312" w:eastAsia="Times New Roman"/>
          <w:sz w:val="24"/>
          <w:szCs w:val="24"/>
          <w:lang w:val="en-US" w:eastAsia="zh-CN"/>
        </w:rPr>
        <w:t>生产的产品以电解铜为原料，采用感应熔炼、半连续铸造、热轧、冷轧、精整的生产工艺生产铜板和铜带。公司产品种类丰富，涵盖紫铜、黄铜、青铜、白铜四大类。几十种不同牌号的铜板、铜带、铜排、铜棒。产品广泛运用于电子通讯、电气、汽车、精密模具、家电、建筑、五金、洁具卫浴、装饰等领域。如电气柜、变压器、线路板、电子元件、五金配件、外墙装饰、铜门、铜工艺品等。固定客户200余家，业务覆盖甘肃、四川、重庆、陕西、北京、河北、天津、广东、福建、江苏、上海等十九个省市。</w:t>
      </w:r>
    </w:p>
    <w:p>
      <w:pPr>
        <w:spacing w:line="360" w:lineRule="auto"/>
        <w:ind w:firstLine="480" w:firstLineChars="200"/>
        <w:rPr>
          <w:rFonts w:hint="eastAsia" w:ascii="??_GB2312" w:eastAsia="Times New Roman"/>
          <w:sz w:val="24"/>
          <w:szCs w:val="24"/>
          <w:lang w:val="en-US" w:eastAsia="zh-CN"/>
        </w:rPr>
      </w:pPr>
      <w:r>
        <w:rPr>
          <w:rFonts w:hint="eastAsia" w:ascii="??_GB2312" w:eastAsia="Times New Roman"/>
          <w:sz w:val="24"/>
          <w:szCs w:val="24"/>
          <w:lang w:val="en-US" w:eastAsia="zh-CN"/>
        </w:rPr>
        <w:t>公司主要生产设备：工频熔化炉、步进式加热炉、四辊粗中轧机、多辊精轧机、钟罩式退火炉、双面铣机列、酸洗钝化机列、拉弯矫机列、横剪机列、纵剪机列等均属国内一流设备。公司自主研发的高精度宽幅铜板带强力热轧机，被浙江省列为省重大科技专项。同时拥有世界一流的专业检测设备，美国热电3460直读光谱仪、德国蔡司金相显微镜、德国菲希尔导电率检测仪、美国沃伯特维氏硬度计、杯突试验机、万能材料试验机等仪器。</w:t>
      </w:r>
    </w:p>
    <w:p>
      <w:pPr>
        <w:spacing w:line="360" w:lineRule="auto"/>
        <w:ind w:firstLine="480" w:firstLineChars="200"/>
        <w:rPr>
          <w:rFonts w:hint="eastAsia" w:ascii="??_GB2312" w:eastAsia="Times New Roman"/>
          <w:sz w:val="24"/>
          <w:szCs w:val="24"/>
          <w:lang w:val="en-US" w:eastAsia="zh-CN"/>
        </w:rPr>
      </w:pPr>
      <w:r>
        <w:rPr>
          <w:rFonts w:hint="eastAsia" w:ascii="??_GB2312" w:eastAsia="Times New Roman"/>
          <w:sz w:val="24"/>
          <w:szCs w:val="24"/>
          <w:lang w:val="en-US" w:eastAsia="zh-CN"/>
        </w:rPr>
        <w:t>公司年产十万吨高精度宽幅铜板带生产线项目，是近年来中国有色金属加工行业起点最高、投资最大、产品最全的铜加工项目。被列入国家火炬计划产业化示范项目、浙江省重大产业项目。项目于2016年6月份正式投产，它的建成将改变中国有色金属加工的产业格局。</w:t>
      </w:r>
    </w:p>
    <w:p>
      <w:pPr>
        <w:spacing w:line="360" w:lineRule="auto"/>
        <w:ind w:firstLine="480" w:firstLineChars="200"/>
        <w:rPr>
          <w:rFonts w:hint="eastAsia" w:ascii="??_GB2312" w:eastAsia="Times New Roman"/>
          <w:sz w:val="24"/>
          <w:szCs w:val="24"/>
          <w:lang w:val="en-US" w:eastAsia="zh-CN"/>
        </w:rPr>
      </w:pPr>
      <w:r>
        <w:rPr>
          <w:rFonts w:hint="eastAsia" w:ascii="??_GB2312" w:eastAsia="Times New Roman"/>
          <w:sz w:val="24"/>
          <w:szCs w:val="24"/>
          <w:lang w:val="en-US" w:eastAsia="zh-CN"/>
        </w:rPr>
        <w:t>公司2015年成为中国有色金属加工工业协会理事单位，并将于2016年8月17日至19日承办由中国有色金属加工工业协会、浙江省金华市人民政府共同举办中国有色金属年会暨中国铜板带产业大会，标志着我公司进入中国铜加工企业第一梯队。</w:t>
      </w:r>
    </w:p>
    <w:p>
      <w:pPr>
        <w:spacing w:line="360" w:lineRule="auto"/>
        <w:ind w:firstLine="480" w:firstLineChars="200"/>
        <w:rPr>
          <w:rFonts w:ascii="??_GB2312" w:eastAsia="Times New Roman"/>
          <w:sz w:val="24"/>
          <w:szCs w:val="24"/>
        </w:rPr>
      </w:pPr>
      <w:r>
        <w:rPr>
          <w:rFonts w:hint="eastAsia" w:ascii="??_GB2312" w:eastAsia="Times New Roman"/>
          <w:sz w:val="24"/>
          <w:szCs w:val="24"/>
          <w:lang w:val="en-US" w:eastAsia="zh-CN"/>
        </w:rPr>
        <w:t>未来的花园铜业将加大技术创新，进军军工市场；申报国家级高新技术企业；建设国家级工程质技部；建设铜产品检测重点实验室，成为国家级产品检测认证中心，承担长三角地区铜产品的专业检验、检测；加大产品升级，高精度宽幅铜板带向发达国家出口；加快企业规模化，打造百亿产业航母。</w:t>
      </w:r>
    </w:p>
    <w:p>
      <w:pPr>
        <w:pStyle w:val="3"/>
        <w:spacing w:line="240" w:lineRule="auto"/>
        <w:rPr>
          <w:rFonts w:cs="Times New Roman"/>
          <w:b w:val="0"/>
          <w:bCs w:val="0"/>
          <w:sz w:val="30"/>
          <w:szCs w:val="30"/>
        </w:rPr>
      </w:pPr>
      <w:bookmarkStart w:id="2" w:name="_Toc7417"/>
      <w:r>
        <w:rPr>
          <w:rFonts w:ascii="仿宋" w:hAnsi="仿宋" w:eastAsia="仿宋" w:cs="仿宋"/>
          <w:sz w:val="24"/>
          <w:szCs w:val="24"/>
        </w:rPr>
        <w:t xml:space="preserve"> </w:t>
      </w:r>
      <w:r>
        <w:rPr>
          <w:rFonts w:hint="eastAsia" w:cs="黑体"/>
          <w:b w:val="0"/>
          <w:bCs w:val="0"/>
          <w:sz w:val="30"/>
          <w:szCs w:val="30"/>
        </w:rPr>
        <w:t>（二）公司治理结构</w:t>
      </w:r>
      <w:bookmarkEnd w:id="2"/>
    </w:p>
    <w:p>
      <w:pPr>
        <w:spacing w:line="360" w:lineRule="auto"/>
        <w:ind w:firstLine="480" w:firstLineChars="200"/>
        <w:rPr>
          <w:rFonts w:ascii="??_GB2312" w:eastAsia="Times New Roman"/>
          <w:sz w:val="24"/>
          <w:szCs w:val="24"/>
        </w:rPr>
      </w:pPr>
      <w:r>
        <w:rPr>
          <w:rFonts w:ascii="??_GB2312" w:eastAsia="Times New Roman"/>
          <w:sz w:val="24"/>
          <w:szCs w:val="24"/>
        </w:rPr>
        <w:t>公司严格执行现代企业制度，依法建立了由股东、董事会、监事会组成的公司治理架构，形成了权力机构、执行机构、监督机构之间各司其职、有效制衡、相互协调工作的机制，在此之下公司建立健全了以职业经理人为主的公司管理层，以为股东持续创造卓越的投资回报并实现股东价值最大化为发展宗旨。</w:t>
      </w:r>
    </w:p>
    <w:p>
      <w:pPr>
        <w:pStyle w:val="3"/>
        <w:rPr>
          <w:rFonts w:cs="Times New Roman"/>
          <w:b w:val="0"/>
          <w:bCs w:val="0"/>
          <w:sz w:val="30"/>
          <w:szCs w:val="30"/>
        </w:rPr>
      </w:pPr>
      <w:bookmarkStart w:id="3" w:name="_Toc22686"/>
      <w:r>
        <w:rPr>
          <w:rFonts w:hint="eastAsia" w:cs="黑体"/>
          <w:b w:val="0"/>
          <w:bCs w:val="0"/>
          <w:sz w:val="30"/>
          <w:szCs w:val="30"/>
        </w:rPr>
        <w:t>（三）</w:t>
      </w:r>
      <w:r>
        <w:rPr>
          <w:b w:val="0"/>
          <w:bCs w:val="0"/>
          <w:sz w:val="30"/>
          <w:szCs w:val="30"/>
        </w:rPr>
        <w:t>20</w:t>
      </w:r>
      <w:r>
        <w:rPr>
          <w:rFonts w:hint="eastAsia"/>
          <w:b w:val="0"/>
          <w:bCs w:val="0"/>
          <w:sz w:val="30"/>
          <w:szCs w:val="30"/>
          <w:lang w:val="en-US" w:eastAsia="zh-CN"/>
        </w:rPr>
        <w:t>23</w:t>
      </w:r>
      <w:r>
        <w:rPr>
          <w:rFonts w:hint="eastAsia" w:cs="黑体"/>
          <w:b w:val="0"/>
          <w:bCs w:val="0"/>
          <w:sz w:val="30"/>
          <w:szCs w:val="30"/>
        </w:rPr>
        <w:t>年经营概况</w:t>
      </w:r>
      <w:bookmarkEnd w:id="3"/>
    </w:p>
    <w:p>
      <w:pPr>
        <w:spacing w:line="360" w:lineRule="auto"/>
        <w:ind w:firstLine="480" w:firstLineChars="200"/>
        <w:rPr>
          <w:rFonts w:ascii="??_GB2312" w:eastAsia="Times New Roman"/>
          <w:color w:val="4F81BD" w:themeColor="accent1"/>
          <w:sz w:val="24"/>
          <w:szCs w:val="24"/>
        </w:rPr>
      </w:pPr>
      <w:r>
        <w:rPr>
          <w:rFonts w:ascii="??_GB2312" w:eastAsia="Times New Roman" w:cs="??_GB2312"/>
          <w:sz w:val="24"/>
          <w:szCs w:val="24"/>
        </w:rPr>
        <w:t>20</w:t>
      </w:r>
      <w:r>
        <w:rPr>
          <w:rFonts w:hint="eastAsia" w:ascii="??_GB2312" w:cs="??_GB2312"/>
          <w:sz w:val="24"/>
          <w:szCs w:val="24"/>
          <w:lang w:val="en-US" w:eastAsia="zh-CN"/>
        </w:rPr>
        <w:t>23</w:t>
      </w:r>
      <w:r>
        <w:rPr>
          <w:rFonts w:ascii="??_GB2312" w:eastAsia="Times New Roman"/>
          <w:sz w:val="24"/>
          <w:szCs w:val="24"/>
        </w:rPr>
        <w:t>年，公司积极应对错综复杂的国内外经济形势，紧紧围绕“技术驱动，精细管理，品牌引领”的工作思路，推进公司的跨越式发展。实现销售收入</w:t>
      </w:r>
      <w:r>
        <w:rPr>
          <w:rFonts w:hint="eastAsia" w:ascii="??_GB2312" w:eastAsia="Times New Roman"/>
          <w:sz w:val="24"/>
          <w:szCs w:val="24"/>
          <w:lang w:val="en-US" w:eastAsia="zh-CN"/>
        </w:rPr>
        <w:t>1509672.7090</w:t>
      </w:r>
      <w:r>
        <w:rPr>
          <w:rFonts w:ascii="??_GB2312" w:eastAsia="Times New Roman"/>
          <w:sz w:val="24"/>
          <w:szCs w:val="24"/>
        </w:rPr>
        <w:t>万元。</w:t>
      </w:r>
      <w:bookmarkStart w:id="4" w:name="_Toc1778"/>
    </w:p>
    <w:p>
      <w:pPr>
        <w:pStyle w:val="2"/>
        <w:rPr>
          <w:sz w:val="36"/>
          <w:szCs w:val="36"/>
        </w:rPr>
      </w:pPr>
      <w:r>
        <w:rPr>
          <w:rFonts w:hint="eastAsia" w:cs="宋体"/>
          <w:sz w:val="36"/>
          <w:szCs w:val="36"/>
        </w:rPr>
        <w:t>二、公司对社会责任的认识</w:t>
      </w:r>
      <w:bookmarkEnd w:id="4"/>
    </w:p>
    <w:p>
      <w:pPr>
        <w:spacing w:line="360" w:lineRule="auto"/>
        <w:ind w:firstLine="480" w:firstLineChars="200"/>
        <w:rPr>
          <w:rFonts w:ascii="??_GB2312" w:eastAsia="Times New Roman"/>
          <w:sz w:val="24"/>
          <w:szCs w:val="24"/>
        </w:rPr>
      </w:pPr>
      <w:r>
        <w:rPr>
          <w:rFonts w:ascii="??_GB2312" w:eastAsia="Times New Roman"/>
          <w:sz w:val="24"/>
          <w:szCs w:val="24"/>
        </w:rPr>
        <w:t>公司的社会责任理念是公司管理理念体系的一部分，其价值观也体现在服务理念、品牌理念、环保理念、关爱员工、社会责任之中。公司始终认为企业在长期经营、对股东利益负责并实现利润最大化的同时，还要承担起对利益相关者以及整个社会的责任，以实现企业与经济社会可持续发展的协调关系。认真地履行社会责任，不仅仅是公司提升自身价值，真正实现向现代企业跨越的必经之路，更是落实以人为本的科学发展观，构建社会主义和谐社会的具体行动体现。</w:t>
      </w:r>
    </w:p>
    <w:p>
      <w:pPr>
        <w:spacing w:line="360" w:lineRule="auto"/>
        <w:ind w:firstLine="480" w:firstLineChars="200"/>
        <w:rPr>
          <w:rFonts w:ascii="??_GB2312" w:eastAsia="Times New Roman"/>
          <w:sz w:val="24"/>
          <w:szCs w:val="24"/>
        </w:rPr>
      </w:pPr>
      <w:r>
        <w:rPr>
          <w:rFonts w:ascii="??_GB2312" w:eastAsia="Times New Roman"/>
          <w:sz w:val="24"/>
          <w:szCs w:val="24"/>
        </w:rPr>
        <w:t>公司遵循</w:t>
      </w:r>
      <w:r>
        <w:rPr>
          <w:rFonts w:hint="eastAsia" w:ascii="??_GB2312" w:eastAsia="Times New Roman"/>
          <w:sz w:val="24"/>
          <w:szCs w:val="24"/>
          <w:lang w:val="en-US" w:eastAsia="zh-CN"/>
        </w:rPr>
        <w:t>“责任 忠诚 创新 尊重 激情 执行 ”的核心价值观，并把“打造科技环保领先、引领产业升级的国内一流铜材制造商和供应基地”作为自己的战略愿景，以“科技导向、铜材引领，和谐共赢，造福社会”为使命。</w:t>
      </w:r>
    </w:p>
    <w:p>
      <w:pPr>
        <w:spacing w:line="360" w:lineRule="auto"/>
        <w:ind w:firstLine="480" w:firstLineChars="200"/>
        <w:rPr>
          <w:rFonts w:ascii="??_GB2312" w:eastAsia="Times New Roman"/>
          <w:sz w:val="24"/>
          <w:szCs w:val="24"/>
        </w:rPr>
      </w:pPr>
      <w:r>
        <w:rPr>
          <w:rFonts w:ascii="??_GB2312" w:eastAsia="Times New Roman"/>
          <w:sz w:val="24"/>
          <w:szCs w:val="24"/>
        </w:rPr>
        <w:t>公司以促进社会和谐发展为己任，通过贯彻落实科学发展观，将可持续发展和构建和谐社会的理念切实融入企业文化，更好地服务消费者，带给利益相关人更多的回报。公司在实践中不断追求企业与员工、社会、自然的和谐发展，注重生产过程中的节能与环保，同时最大程度地保护生存的环境，以实际行动回报社会、保护环境、关爱自然、创建和谐的发展环境，履行社会责任。</w:t>
      </w:r>
    </w:p>
    <w:p>
      <w:pPr>
        <w:ind w:firstLine="240" w:firstLineChars="100"/>
        <w:rPr>
          <w:rFonts w:ascii="??_GB2312" w:eastAsia="Times New Roman"/>
          <w:sz w:val="24"/>
          <w:szCs w:val="24"/>
        </w:rPr>
      </w:pPr>
      <w:r>
        <w:rPr>
          <w:rFonts w:ascii="??_GB2312" w:eastAsia="Times New Roman"/>
          <w:sz w:val="24"/>
          <w:szCs w:val="24"/>
        </w:rPr>
        <w:t>公司的宗旨及社会责任理念：</w:t>
      </w:r>
      <w:r>
        <w:rPr>
          <w:rFonts w:hint="eastAsia" w:ascii="??_GB2312" w:eastAsia="Times New Roman"/>
          <w:sz w:val="24"/>
          <w:szCs w:val="24"/>
          <w:lang w:val="en-US" w:eastAsia="zh-CN"/>
        </w:rPr>
        <w:t>牢记企业使命，履行企业责任，重视员工发展，推动社会进步</w:t>
      </w:r>
      <w:r>
        <w:rPr>
          <w:rFonts w:ascii="??_GB2312" w:eastAsia="Times New Roman"/>
          <w:sz w:val="24"/>
          <w:szCs w:val="24"/>
        </w:rPr>
        <w:t>。</w:t>
      </w:r>
    </w:p>
    <w:p>
      <w:pPr>
        <w:spacing w:line="360" w:lineRule="auto"/>
        <w:ind w:firstLine="240" w:firstLineChars="100"/>
        <w:rPr>
          <w:b/>
          <w:bCs/>
        </w:rPr>
      </w:pPr>
      <w:r>
        <w:rPr>
          <w:rFonts w:ascii="??_GB2312" w:eastAsia="Times New Roman"/>
          <w:sz w:val="24"/>
          <w:szCs w:val="24"/>
        </w:rPr>
        <w:t>公司的经营理念：</w:t>
      </w:r>
      <w:r>
        <w:rPr>
          <w:rFonts w:hint="eastAsia" w:ascii="??_GB2312" w:hAnsi="Times New Roman" w:eastAsia="Times New Roman" w:cs="Times New Roman"/>
          <w:sz w:val="24"/>
          <w:szCs w:val="24"/>
        </w:rPr>
        <w:t>合作重于竞争。</w:t>
      </w:r>
    </w:p>
    <w:p>
      <w:pPr>
        <w:spacing w:line="360" w:lineRule="auto"/>
        <w:rPr>
          <w:b/>
          <w:bCs/>
          <w:sz w:val="36"/>
          <w:szCs w:val="36"/>
        </w:rPr>
      </w:pPr>
      <w:bookmarkStart w:id="5" w:name="_Toc16606"/>
      <w:r>
        <w:rPr>
          <w:rFonts w:hint="eastAsia" w:cs="宋体"/>
          <w:b/>
          <w:bCs/>
          <w:sz w:val="36"/>
          <w:szCs w:val="36"/>
        </w:rPr>
        <w:t>三、在促进经济可持续发展方面履行的社会责任</w:t>
      </w:r>
      <w:bookmarkEnd w:id="5"/>
    </w:p>
    <w:p>
      <w:pPr>
        <w:pStyle w:val="3"/>
        <w:rPr>
          <w:rFonts w:cs="Times New Roman"/>
          <w:b w:val="0"/>
          <w:bCs w:val="0"/>
          <w:sz w:val="30"/>
          <w:szCs w:val="30"/>
        </w:rPr>
      </w:pPr>
      <w:bookmarkStart w:id="6" w:name="_Toc19024"/>
      <w:r>
        <w:rPr>
          <w:rFonts w:hint="eastAsia" w:cs="黑体"/>
          <w:b w:val="0"/>
          <w:bCs w:val="0"/>
          <w:sz w:val="30"/>
          <w:szCs w:val="30"/>
        </w:rPr>
        <w:t>（一）完善公司治理，合法合规经营</w:t>
      </w:r>
      <w:bookmarkEnd w:id="6"/>
    </w:p>
    <w:p>
      <w:pPr>
        <w:spacing w:line="360" w:lineRule="auto"/>
        <w:ind w:firstLine="480" w:firstLineChars="200"/>
        <w:rPr>
          <w:rFonts w:ascii="??_GB2312" w:eastAsia="Times New Roman"/>
          <w:sz w:val="24"/>
          <w:szCs w:val="24"/>
        </w:rPr>
      </w:pPr>
      <w:r>
        <w:rPr>
          <w:rFonts w:hint="eastAsia" w:ascii="??_GB2312"/>
          <w:sz w:val="24"/>
          <w:szCs w:val="24"/>
          <w:lang w:eastAsia="zh-CN"/>
        </w:rPr>
        <w:t>花园电气材料</w:t>
      </w:r>
      <w:r>
        <w:rPr>
          <w:rFonts w:ascii="??_GB2312" w:eastAsia="Times New Roman"/>
          <w:sz w:val="24"/>
          <w:szCs w:val="24"/>
        </w:rPr>
        <w:t>成立以来，公司不断完善治理结构，健全内部制度体系，对管理层贯彻执行法律、行政法规，履行诚信和勤勉的义务等方面做了明确的规定，坚持合法经营，依法纳税，诚信为本，履行法律和道德责任。</w:t>
      </w:r>
    </w:p>
    <w:p>
      <w:pPr>
        <w:spacing w:line="360" w:lineRule="auto"/>
        <w:ind w:firstLine="480" w:firstLineChars="200"/>
        <w:rPr>
          <w:rFonts w:ascii="??_GB2312" w:eastAsia="Times New Roman"/>
          <w:sz w:val="24"/>
          <w:szCs w:val="24"/>
        </w:rPr>
      </w:pPr>
      <w:r>
        <w:rPr>
          <w:rFonts w:ascii="??_GB2312" w:eastAsia="Times New Roman"/>
          <w:sz w:val="24"/>
          <w:szCs w:val="24"/>
        </w:rPr>
        <w:t>同时，公司依据法律法规的相关要求，建立健全了信息报送、内部控制、资产管理、成本核算规范、财务报告管理等制度，进一步健全公司的管理制度体系，提高了规范化运作水平，为公司合法、合规经营提供了制度保障。</w:t>
      </w:r>
    </w:p>
    <w:p>
      <w:pPr>
        <w:spacing w:line="360" w:lineRule="auto"/>
        <w:ind w:firstLine="480" w:firstLineChars="200"/>
        <w:rPr>
          <w:rFonts w:ascii="??_GB2312" w:eastAsia="Times New Roman"/>
          <w:sz w:val="24"/>
          <w:szCs w:val="24"/>
        </w:rPr>
      </w:pPr>
      <w:r>
        <w:rPr>
          <w:rFonts w:ascii="??_GB2312" w:eastAsia="Times New Roman" w:cs="??_GB2312"/>
          <w:sz w:val="24"/>
          <w:szCs w:val="24"/>
        </w:rPr>
        <w:t>20</w:t>
      </w:r>
      <w:r>
        <w:rPr>
          <w:rFonts w:hint="eastAsia" w:ascii="??_GB2312" w:cs="??_GB2312"/>
          <w:sz w:val="24"/>
          <w:szCs w:val="24"/>
          <w:lang w:val="en-US" w:eastAsia="zh-CN"/>
        </w:rPr>
        <w:t>23</w:t>
      </w:r>
      <w:r>
        <w:rPr>
          <w:rFonts w:ascii="??_GB2312" w:eastAsia="Times New Roman"/>
          <w:sz w:val="24"/>
          <w:szCs w:val="24"/>
        </w:rPr>
        <w:t>年，公司由第三方出具的审计报告及时有效，并无保留意见。</w:t>
      </w:r>
    </w:p>
    <w:p>
      <w:pPr>
        <w:pStyle w:val="3"/>
        <w:rPr>
          <w:rFonts w:cs="Times New Roman"/>
          <w:b w:val="0"/>
          <w:bCs w:val="0"/>
          <w:sz w:val="30"/>
          <w:szCs w:val="30"/>
        </w:rPr>
      </w:pPr>
      <w:bookmarkStart w:id="7" w:name="_Toc13960"/>
      <w:r>
        <w:rPr>
          <w:rFonts w:hint="eastAsia" w:cs="黑体"/>
          <w:b w:val="0"/>
          <w:bCs w:val="0"/>
          <w:sz w:val="30"/>
          <w:szCs w:val="30"/>
        </w:rPr>
        <w:t>（二）依法诚信纳税</w:t>
      </w:r>
      <w:bookmarkEnd w:id="7"/>
    </w:p>
    <w:p>
      <w:pPr>
        <w:spacing w:line="360" w:lineRule="auto"/>
        <w:ind w:firstLine="480" w:firstLineChars="200"/>
        <w:rPr>
          <w:rFonts w:ascii="??_GB2312" w:eastAsia="Times New Roman"/>
          <w:sz w:val="24"/>
          <w:szCs w:val="24"/>
        </w:rPr>
      </w:pPr>
      <w:r>
        <w:rPr>
          <w:rFonts w:ascii="??_GB2312" w:eastAsia="Times New Roman"/>
          <w:sz w:val="24"/>
          <w:szCs w:val="24"/>
        </w:rPr>
        <w:t>依法纳税是企业应尽的义务，也是企业承担社会责任的具体表现。税收在保证国家财政持续良性增长的同时，也对加快转变经济发展方式、产业结构优化升级、节能减排践行低碳经济等方面产生积极的引导作用。作为行业领先企业，始终走在纳税前列，努力争创纳税模范典型。</w:t>
      </w:r>
    </w:p>
    <w:p>
      <w:pPr>
        <w:spacing w:line="360" w:lineRule="auto"/>
        <w:ind w:firstLine="480" w:firstLineChars="200"/>
        <w:rPr>
          <w:rFonts w:ascii="??_GB2312" w:eastAsia="Times New Roman"/>
          <w:sz w:val="24"/>
          <w:szCs w:val="24"/>
        </w:rPr>
      </w:pPr>
      <w:r>
        <w:rPr>
          <w:rFonts w:ascii="??_GB2312" w:eastAsia="Times New Roman"/>
          <w:sz w:val="24"/>
          <w:szCs w:val="24"/>
        </w:rPr>
        <w:t>随着公司业务的不断扩展，赢利能力的不断提升，公司为国家创造的税收也逐年增加。公司纳税近三年来逐年增长，20</w:t>
      </w:r>
      <w:r>
        <w:rPr>
          <w:rFonts w:hint="eastAsia" w:ascii="??_GB2312" w:eastAsia="Times New Roman"/>
          <w:sz w:val="24"/>
          <w:szCs w:val="24"/>
          <w:lang w:val="en-US" w:eastAsia="zh-CN"/>
        </w:rPr>
        <w:t>23</w:t>
      </w:r>
      <w:r>
        <w:rPr>
          <w:rFonts w:ascii="??_GB2312" w:eastAsia="Times New Roman"/>
          <w:sz w:val="24"/>
          <w:szCs w:val="24"/>
        </w:rPr>
        <w:t>年达</w:t>
      </w:r>
      <w:r>
        <w:rPr>
          <w:rFonts w:hint="eastAsia" w:ascii="??_GB2312" w:eastAsia="Times New Roman"/>
          <w:sz w:val="24"/>
          <w:szCs w:val="24"/>
          <w:lang w:val="en-US" w:eastAsia="zh-CN"/>
        </w:rPr>
        <w:t>5563.3万</w:t>
      </w:r>
      <w:r>
        <w:rPr>
          <w:rFonts w:ascii="??_GB2312" w:eastAsia="Times New Roman"/>
          <w:sz w:val="24"/>
          <w:szCs w:val="24"/>
        </w:rPr>
        <w:t>元，为国家税收和地方经济的发展做出了积极的贡献。</w:t>
      </w:r>
    </w:p>
    <w:p>
      <w:pPr>
        <w:pStyle w:val="3"/>
        <w:rPr>
          <w:rFonts w:cs="Times New Roman"/>
          <w:b w:val="0"/>
          <w:bCs w:val="0"/>
          <w:sz w:val="30"/>
          <w:szCs w:val="30"/>
        </w:rPr>
      </w:pPr>
      <w:bookmarkStart w:id="8" w:name="_Toc3493"/>
      <w:r>
        <w:rPr>
          <w:rFonts w:hint="eastAsia" w:cs="黑体"/>
          <w:b w:val="0"/>
          <w:bCs w:val="0"/>
          <w:sz w:val="30"/>
          <w:szCs w:val="30"/>
        </w:rPr>
        <w:t>（三）构建和谐的投资者关系</w:t>
      </w:r>
      <w:bookmarkEnd w:id="8"/>
    </w:p>
    <w:p>
      <w:pPr>
        <w:spacing w:line="360" w:lineRule="auto"/>
        <w:ind w:firstLine="480" w:firstLineChars="200"/>
        <w:rPr>
          <w:rFonts w:ascii="??_GB2312" w:eastAsia="Times New Roman"/>
          <w:sz w:val="24"/>
          <w:szCs w:val="24"/>
        </w:rPr>
      </w:pPr>
      <w:r>
        <w:rPr>
          <w:rFonts w:ascii="??_GB2312" w:eastAsia="Times New Roman"/>
          <w:sz w:val="24"/>
          <w:szCs w:val="24"/>
        </w:rPr>
        <w:t>实现股东利益最大化是公司的战略目标之一，维护股东权益、加强投资者关系管理是公司工作的重要组成部分。通过股份制平台，公司坚持诚实尽职履行信息披露义务，保证股东的知情权。同时，为积极促进公司与股东之间的沟通交流，使投资者能更加深入地了解公司的发展战略及经营状况，公司还定期召开股东会议与投资者积极沟通，确保构建和谐的投资者关系。</w:t>
      </w:r>
    </w:p>
    <w:p>
      <w:pPr>
        <w:pStyle w:val="3"/>
        <w:rPr>
          <w:rFonts w:cs="Times New Roman"/>
          <w:b w:val="0"/>
          <w:bCs w:val="0"/>
          <w:sz w:val="30"/>
          <w:szCs w:val="30"/>
        </w:rPr>
      </w:pPr>
      <w:bookmarkStart w:id="9" w:name="_Toc21683"/>
      <w:r>
        <w:rPr>
          <w:rFonts w:hint="eastAsia" w:cs="黑体"/>
          <w:b w:val="0"/>
          <w:bCs w:val="0"/>
          <w:sz w:val="30"/>
          <w:szCs w:val="30"/>
        </w:rPr>
        <w:t>（四）为客户提供高质量的产品和服务</w:t>
      </w:r>
      <w:bookmarkEnd w:id="9"/>
    </w:p>
    <w:p>
      <w:pPr>
        <w:spacing w:line="360" w:lineRule="auto"/>
        <w:ind w:firstLine="480" w:firstLineChars="200"/>
        <w:rPr>
          <w:rFonts w:ascii="??_GB2312" w:eastAsia="Times New Roman"/>
          <w:sz w:val="24"/>
          <w:szCs w:val="24"/>
        </w:rPr>
      </w:pPr>
      <w:r>
        <w:rPr>
          <w:rFonts w:ascii="??_GB2312" w:eastAsia="Times New Roman"/>
          <w:sz w:val="24"/>
          <w:szCs w:val="24"/>
        </w:rPr>
        <w:t>公司始终坚持“</w:t>
      </w:r>
      <w:r>
        <w:rPr>
          <w:rFonts w:ascii="??_GB2312" w:eastAsia="Times New Roman"/>
          <w:sz w:val="24"/>
          <w:szCs w:val="24"/>
          <w:lang w:val="zh-CN"/>
        </w:rPr>
        <w:t>质量优先、服务完善、信誉卓越</w:t>
      </w:r>
      <w:r>
        <w:rPr>
          <w:rFonts w:ascii="??_GB2312" w:eastAsia="Times New Roman"/>
          <w:sz w:val="24"/>
          <w:szCs w:val="24"/>
        </w:rPr>
        <w:t>”的质量理念，将稳定和提升产品质量作为全员共同奋斗的目标，并通过长期实践逐渐形成质量控制循环体系：掌握客户需求，团队协同开发，标准规范制造，监测分析改进，预防减免风险，销售交付得当，技术支持服务，客户满意提升。</w:t>
      </w:r>
    </w:p>
    <w:p>
      <w:pPr>
        <w:spacing w:line="360" w:lineRule="auto"/>
        <w:ind w:firstLine="480" w:firstLineChars="200"/>
        <w:rPr>
          <w:rFonts w:ascii="??_GB2312" w:eastAsia="Times New Roman"/>
          <w:sz w:val="24"/>
          <w:szCs w:val="24"/>
        </w:rPr>
      </w:pPr>
      <w:r>
        <w:rPr>
          <w:rFonts w:ascii="??_GB2312" w:eastAsia="Times New Roman" w:cs="??_GB2312"/>
          <w:sz w:val="24"/>
          <w:szCs w:val="24"/>
        </w:rPr>
        <w:t>1</w:t>
      </w:r>
      <w:r>
        <w:rPr>
          <w:rFonts w:ascii="??_GB2312" w:eastAsia="Times New Roman"/>
          <w:sz w:val="24"/>
          <w:szCs w:val="24"/>
        </w:rPr>
        <w:t>、全面实施大质量管理</w:t>
      </w:r>
    </w:p>
    <w:p>
      <w:pPr>
        <w:spacing w:line="360" w:lineRule="auto"/>
        <w:ind w:firstLine="480" w:firstLineChars="200"/>
        <w:rPr>
          <w:rFonts w:ascii="??_GB2312" w:eastAsia="Times New Roman"/>
          <w:sz w:val="24"/>
          <w:szCs w:val="24"/>
        </w:rPr>
      </w:pPr>
      <w:r>
        <w:rPr>
          <w:rFonts w:ascii="??_GB2312" w:eastAsia="Times New Roman" w:cs="??_GB2312"/>
          <w:sz w:val="24"/>
          <w:szCs w:val="24"/>
        </w:rPr>
        <w:t>20</w:t>
      </w:r>
      <w:r>
        <w:rPr>
          <w:rFonts w:hint="eastAsia" w:ascii="??_GB2312" w:cs="??_GB2312"/>
          <w:sz w:val="24"/>
          <w:szCs w:val="24"/>
          <w:lang w:val="en-US" w:eastAsia="zh-CN"/>
        </w:rPr>
        <w:t>23</w:t>
      </w:r>
      <w:r>
        <w:rPr>
          <w:rFonts w:ascii="??_GB2312" w:eastAsia="Times New Roman"/>
          <w:sz w:val="24"/>
          <w:szCs w:val="24"/>
        </w:rPr>
        <w:t>年，公司以实施大质量计划为切入点，进一步树立全面质量管理和“大质量”观，在公司范围内全面开展“质量年”活动，工作质量全面提高，产品质量显著提升。</w:t>
      </w:r>
    </w:p>
    <w:p>
      <w:pPr>
        <w:spacing w:line="360" w:lineRule="auto"/>
        <w:ind w:firstLine="480" w:firstLineChars="200"/>
        <w:rPr>
          <w:rFonts w:ascii="??_GB2312" w:eastAsia="Times New Roman"/>
          <w:sz w:val="24"/>
          <w:szCs w:val="24"/>
        </w:rPr>
      </w:pPr>
      <w:r>
        <w:rPr>
          <w:rFonts w:ascii="??_GB2312" w:eastAsia="Times New Roman"/>
          <w:sz w:val="24"/>
          <w:szCs w:val="24"/>
        </w:rPr>
        <w:t>（</w:t>
      </w:r>
      <w:r>
        <w:rPr>
          <w:rFonts w:ascii="??_GB2312" w:eastAsia="Times New Roman" w:cs="??_GB2312"/>
          <w:sz w:val="24"/>
          <w:szCs w:val="24"/>
        </w:rPr>
        <w:t>1</w:t>
      </w:r>
      <w:r>
        <w:rPr>
          <w:rFonts w:ascii="??_GB2312" w:eastAsia="Times New Roman"/>
          <w:sz w:val="24"/>
          <w:szCs w:val="24"/>
        </w:rPr>
        <w:t>）进一步完善管理体系建设，突出质量监管</w:t>
      </w:r>
    </w:p>
    <w:p>
      <w:pPr>
        <w:spacing w:line="360" w:lineRule="auto"/>
        <w:ind w:firstLine="480" w:firstLineChars="200"/>
        <w:rPr>
          <w:rFonts w:ascii="??_GB2312" w:eastAsia="Times New Roman"/>
          <w:sz w:val="24"/>
          <w:szCs w:val="24"/>
        </w:rPr>
      </w:pPr>
      <w:r>
        <w:rPr>
          <w:rFonts w:ascii="??_GB2312" w:eastAsia="Times New Roman"/>
          <w:sz w:val="24"/>
          <w:szCs w:val="24"/>
        </w:rPr>
        <w:t>根据产品工艺、质量指标要求的实际，公司编制了以关键质量指标为核心的质量管理制度，对进料检验、过程检验、成品检验、性能检测等相关制度和规程进行了重新梳理和完善，重点突出对关键质量指标的持续监控、跟踪、分析和改善。创新现场日检查、集中检查、整改复查方式。定期召开月度质量分析会，通过质量月会从产品开发源头系统地解决在生产制造、客户使用过程中存在的问题，并针对“品质管控运作与落实”进行专题培训，质量过程得到有效控制。加大了质量改进专题项目立项评审，加强项目跟进，提高奖励上限，扩大奖励范围，质量改进得到了有效推动，客户满意度较上年有提升。</w:t>
      </w:r>
    </w:p>
    <w:p>
      <w:pPr>
        <w:spacing w:line="360" w:lineRule="auto"/>
        <w:ind w:firstLine="480" w:firstLineChars="200"/>
        <w:rPr>
          <w:rFonts w:ascii="??_GB2312" w:eastAsia="Times New Roman"/>
          <w:sz w:val="24"/>
          <w:szCs w:val="24"/>
        </w:rPr>
      </w:pPr>
      <w:r>
        <w:rPr>
          <w:rFonts w:ascii="??_GB2312" w:eastAsia="Times New Roman"/>
          <w:sz w:val="24"/>
          <w:szCs w:val="24"/>
        </w:rPr>
        <w:t>（</w:t>
      </w:r>
      <w:r>
        <w:rPr>
          <w:rFonts w:ascii="??_GB2312" w:eastAsia="Times New Roman" w:cs="??_GB2312"/>
          <w:sz w:val="24"/>
          <w:szCs w:val="24"/>
        </w:rPr>
        <w:t>2</w:t>
      </w:r>
      <w:r>
        <w:rPr>
          <w:rFonts w:ascii="??_GB2312" w:eastAsia="Times New Roman"/>
          <w:sz w:val="24"/>
          <w:szCs w:val="24"/>
        </w:rPr>
        <w:t>）进一步推进精细化管理和差别化管理</w:t>
      </w:r>
    </w:p>
    <w:p>
      <w:pPr>
        <w:spacing w:line="360" w:lineRule="auto"/>
        <w:ind w:firstLine="480" w:firstLineChars="200"/>
        <w:rPr>
          <w:rFonts w:ascii="??_GB2312" w:eastAsia="Times New Roman" w:cs="??_GB2312"/>
          <w:sz w:val="24"/>
          <w:szCs w:val="24"/>
        </w:rPr>
      </w:pPr>
      <w:r>
        <w:rPr>
          <w:rFonts w:ascii="??_GB2312" w:eastAsia="Times New Roman"/>
          <w:sz w:val="24"/>
          <w:szCs w:val="24"/>
        </w:rPr>
        <w:t>生产一线以精细化管理为核心，细化管控措施，完善考核机制，提升作业效率，全年主要设备开机率达到</w:t>
      </w:r>
      <w:r>
        <w:rPr>
          <w:rFonts w:ascii="??_GB2312" w:eastAsia="Times New Roman" w:cs="??_GB2312"/>
          <w:sz w:val="24"/>
          <w:szCs w:val="24"/>
        </w:rPr>
        <w:t>96%</w:t>
      </w:r>
      <w:r>
        <w:rPr>
          <w:rFonts w:ascii="??_GB2312" w:eastAsia="Times New Roman"/>
          <w:sz w:val="24"/>
          <w:szCs w:val="24"/>
        </w:rPr>
        <w:t>以上，</w:t>
      </w:r>
      <w:r>
        <w:rPr>
          <w:rFonts w:ascii="??_GB2312" w:eastAsia="Times New Roman" w:cs="??_GB2312"/>
          <w:sz w:val="24"/>
          <w:szCs w:val="24"/>
        </w:rPr>
        <w:t>20</w:t>
      </w:r>
      <w:r>
        <w:rPr>
          <w:rFonts w:hint="eastAsia" w:ascii="??_GB2312" w:cs="??_GB2312"/>
          <w:sz w:val="24"/>
          <w:szCs w:val="24"/>
          <w:lang w:val="en-US" w:eastAsia="zh-CN"/>
        </w:rPr>
        <w:t>23</w:t>
      </w:r>
      <w:r>
        <w:rPr>
          <w:rFonts w:ascii="??_GB2312" w:eastAsia="Times New Roman"/>
          <w:sz w:val="24"/>
          <w:szCs w:val="24"/>
        </w:rPr>
        <w:t>年持续推进精益化生产，对产品实现的过程规定了工艺途径和追溯办法，为了保证产品的质量，按</w:t>
      </w:r>
      <w:r>
        <w:rPr>
          <w:rFonts w:ascii="??_GB2312" w:eastAsia="Times New Roman" w:cs="??_GB2312"/>
          <w:sz w:val="24"/>
          <w:szCs w:val="24"/>
        </w:rPr>
        <w:t>ISO9001</w:t>
      </w:r>
      <w:r>
        <w:rPr>
          <w:rFonts w:ascii="??_GB2312" w:eastAsia="Times New Roman"/>
          <w:sz w:val="24"/>
          <w:szCs w:val="24"/>
        </w:rPr>
        <w:t>标准要求实施了过程控制，为了创造一个整洁的生产环境，开展了</w:t>
      </w:r>
      <w:r>
        <w:rPr>
          <w:rFonts w:ascii="??_GB2312" w:eastAsia="Times New Roman" w:cs="??_GB2312"/>
          <w:sz w:val="24"/>
          <w:szCs w:val="24"/>
        </w:rPr>
        <w:t>6S</w:t>
      </w:r>
      <w:r>
        <w:rPr>
          <w:rFonts w:ascii="??_GB2312" w:eastAsia="Times New Roman"/>
          <w:sz w:val="24"/>
          <w:szCs w:val="24"/>
        </w:rPr>
        <w:t>管理活动和标识、标志、定置定位管理。</w:t>
      </w:r>
      <w:r>
        <w:rPr>
          <w:rFonts w:ascii="??_GB2312" w:eastAsia="Times New Roman" w:cs="??_GB2312"/>
          <w:sz w:val="24"/>
          <w:szCs w:val="24"/>
        </w:rPr>
        <w:t xml:space="preserve"> </w:t>
      </w:r>
    </w:p>
    <w:p>
      <w:pPr>
        <w:spacing w:line="360" w:lineRule="auto"/>
        <w:ind w:firstLine="480" w:firstLineChars="200"/>
        <w:rPr>
          <w:rFonts w:ascii="??_GB2312" w:eastAsia="Times New Roman"/>
          <w:sz w:val="24"/>
          <w:szCs w:val="24"/>
        </w:rPr>
      </w:pPr>
      <w:r>
        <w:rPr>
          <w:rFonts w:ascii="??_GB2312" w:eastAsia="Times New Roman"/>
          <w:sz w:val="24"/>
          <w:szCs w:val="24"/>
        </w:rPr>
        <w:t>（</w:t>
      </w:r>
      <w:r>
        <w:rPr>
          <w:rFonts w:ascii="??_GB2312" w:eastAsia="Times New Roman" w:cs="??_GB2312"/>
          <w:sz w:val="24"/>
          <w:szCs w:val="24"/>
        </w:rPr>
        <w:t>3</w:t>
      </w:r>
      <w:r>
        <w:rPr>
          <w:rFonts w:ascii="??_GB2312" w:eastAsia="Times New Roman"/>
          <w:sz w:val="24"/>
          <w:szCs w:val="24"/>
        </w:rPr>
        <w:t>）着力深化产品结构调整</w:t>
      </w:r>
    </w:p>
    <w:p>
      <w:pPr>
        <w:spacing w:line="360" w:lineRule="auto"/>
        <w:ind w:firstLine="480" w:firstLineChars="200"/>
        <w:rPr>
          <w:rFonts w:ascii="??_GB2312" w:eastAsia="Times New Roman"/>
          <w:sz w:val="24"/>
          <w:szCs w:val="24"/>
        </w:rPr>
      </w:pPr>
      <w:r>
        <w:rPr>
          <w:rFonts w:ascii="??_GB2312" w:eastAsia="Times New Roman"/>
          <w:sz w:val="24"/>
          <w:szCs w:val="24"/>
        </w:rPr>
        <w:t>继续加快产品结构调整，以“技术驱动</w:t>
      </w:r>
      <w:r>
        <w:rPr>
          <w:rFonts w:ascii="??_GB2312" w:eastAsia="Times New Roman" w:cs="??_GB2312"/>
          <w:sz w:val="24"/>
          <w:szCs w:val="24"/>
        </w:rPr>
        <w:t>+</w:t>
      </w:r>
      <w:r>
        <w:rPr>
          <w:rFonts w:ascii="??_GB2312" w:eastAsia="Times New Roman"/>
          <w:sz w:val="24"/>
          <w:szCs w:val="24"/>
        </w:rPr>
        <w:t>精细管理”为指导思想，重点发展个性化产品开发，市场占有率逐年提升。</w:t>
      </w:r>
    </w:p>
    <w:p>
      <w:pPr>
        <w:spacing w:line="360" w:lineRule="auto"/>
        <w:ind w:firstLine="480" w:firstLineChars="200"/>
        <w:rPr>
          <w:rFonts w:ascii="??_GB2312" w:eastAsia="Times New Roman"/>
          <w:sz w:val="24"/>
          <w:szCs w:val="24"/>
        </w:rPr>
      </w:pPr>
      <w:r>
        <w:rPr>
          <w:rFonts w:ascii="??_GB2312" w:eastAsia="Times New Roman" w:cs="??_GB2312"/>
          <w:sz w:val="24"/>
          <w:szCs w:val="24"/>
        </w:rPr>
        <w:t>3</w:t>
      </w:r>
      <w:r>
        <w:rPr>
          <w:rFonts w:ascii="??_GB2312" w:eastAsia="Times New Roman"/>
          <w:sz w:val="24"/>
          <w:szCs w:val="24"/>
        </w:rPr>
        <w:t>、顾客满意度测量</w:t>
      </w:r>
    </w:p>
    <w:p>
      <w:pPr>
        <w:spacing w:line="360" w:lineRule="auto"/>
        <w:ind w:firstLine="480" w:firstLineChars="200"/>
        <w:rPr>
          <w:rFonts w:ascii="??_GB2312" w:eastAsia="Times New Roman"/>
          <w:sz w:val="24"/>
          <w:szCs w:val="24"/>
        </w:rPr>
      </w:pPr>
      <w:bookmarkStart w:id="10" w:name="_Toc31566"/>
      <w:r>
        <w:rPr>
          <w:rFonts w:ascii="??_GB2312" w:eastAsia="Times New Roman"/>
          <w:sz w:val="24"/>
          <w:szCs w:val="24"/>
        </w:rPr>
        <w:t>通过业务人员的问卷调查、日常回访报告、定期调查和专项调查进行顾客满意度的统计分析，三年来顾客满意度水平呈平稳上升的状态，表明公司对顾客综合服务水平的成熟和稳健。公司一直重视并致力于客户满意度的持续改进，预计未来顾客满意度将继续保持向上的趋势，见图表</w:t>
      </w:r>
      <w:r>
        <w:rPr>
          <w:rFonts w:ascii="??_GB2312" w:eastAsia="Times New Roman" w:cs="??_GB2312"/>
          <w:sz w:val="24"/>
          <w:szCs w:val="24"/>
        </w:rPr>
        <w:t xml:space="preserve"> </w:t>
      </w:r>
      <w:r>
        <w:rPr>
          <w:rFonts w:ascii="??_GB2312" w:eastAsia="Times New Roman"/>
          <w:sz w:val="24"/>
          <w:szCs w:val="24"/>
        </w:rPr>
        <w:t>。</w:t>
      </w:r>
    </w:p>
    <w:p>
      <w:pPr>
        <w:autoSpaceDE w:val="0"/>
        <w:autoSpaceDN w:val="0"/>
        <w:adjustRightInd w:val="0"/>
        <w:snapToGrid w:val="0"/>
        <w:spacing w:line="360" w:lineRule="auto"/>
        <w:jc w:val="center"/>
        <w:rPr>
          <w:rFonts w:ascii="宋体"/>
          <w:b/>
          <w:bCs/>
          <w:color w:val="FF0000"/>
          <w:kern w:val="21"/>
        </w:rPr>
      </w:pPr>
      <w:r>
        <w:rPr>
          <w:rFonts w:ascii="宋体" w:hAnsi="宋体" w:cs="宋体"/>
          <w:b/>
          <w:bCs/>
          <w:kern w:val="21"/>
        </w:rPr>
        <w:t xml:space="preserve"> </w:t>
      </w:r>
      <w:r>
        <w:rPr>
          <w:rFonts w:hint="eastAsia" w:ascii="宋体" w:hAnsi="宋体" w:cs="宋体"/>
          <w:b/>
          <w:bCs/>
          <w:kern w:val="21"/>
        </w:rPr>
        <w:t>顾客满意度当前水平</w:t>
      </w:r>
      <w:r>
        <w:rPr>
          <w:rFonts w:ascii="宋体" w:hAnsi="宋体" w:cs="宋体"/>
          <w:b/>
          <w:bCs/>
          <w:kern w:val="21"/>
        </w:rPr>
        <w:t xml:space="preserve"> </w:t>
      </w:r>
      <w:r>
        <w:rPr>
          <w:rFonts w:ascii="宋体" w:hAnsi="宋体" w:cs="宋体"/>
          <w:b/>
          <w:bCs/>
          <w:color w:val="FF0000"/>
          <w:kern w:val="21"/>
        </w:rPr>
        <w:t xml:space="preserve"> </w:t>
      </w:r>
    </w:p>
    <w:tbl>
      <w:tblPr>
        <w:tblStyle w:val="22"/>
        <w:tblW w:w="7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26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988" w:type="dxa"/>
            <w:shd w:val="clear" w:color="auto" w:fill="00B0F0"/>
          </w:tcPr>
          <w:p>
            <w:pPr>
              <w:pStyle w:val="9"/>
              <w:spacing w:before="78" w:after="78" w:line="440" w:lineRule="exact"/>
              <w:ind w:right="44" w:firstLine="1999" w:firstLineChars="833"/>
              <w:rPr>
                <w:rFonts w:ascii="宋体"/>
                <w:b/>
                <w:bCs/>
                <w:color w:val="000000"/>
                <w:sz w:val="21"/>
                <w:szCs w:val="21"/>
              </w:rPr>
            </w:pPr>
            <w:r>
              <w:pict>
                <v:line id="Line 2" o:spid="_x0000_s1030" o:spt="20" style="position:absolute;left:0pt;margin-left:-5.6pt;margin-top:3.25pt;height:53.2pt;width:152.25pt;z-index:251660288;mso-width-relative:page;mso-height-relative:page;" coordsize="21600,21600">
                  <v:path arrowok="t"/>
                  <v:fill focussize="0,0"/>
                  <v:stroke/>
                  <v:imagedata o:title=""/>
                  <o:lock v:ext="edit"/>
                </v:line>
              </w:pict>
            </w:r>
            <w:r>
              <w:rPr>
                <w:rFonts w:ascii="宋体" w:hAnsi="宋体" w:cs="宋体"/>
                <w:b/>
                <w:bCs/>
                <w:color w:val="000000"/>
                <w:sz w:val="21"/>
                <w:szCs w:val="21"/>
              </w:rPr>
              <w:t xml:space="preserve"> </w:t>
            </w:r>
            <w:r>
              <w:rPr>
                <w:rFonts w:hint="eastAsia" w:ascii="宋体" w:hAnsi="宋体" w:cs="宋体"/>
                <w:b/>
                <w:bCs/>
                <w:color w:val="000000"/>
                <w:sz w:val="21"/>
                <w:szCs w:val="21"/>
              </w:rPr>
              <w:t>年份</w:t>
            </w:r>
          </w:p>
          <w:p>
            <w:pPr>
              <w:pStyle w:val="9"/>
              <w:spacing w:before="78" w:after="78" w:line="440" w:lineRule="exact"/>
              <w:ind w:right="44" w:firstLine="0" w:firstLineChars="0"/>
              <w:rPr>
                <w:rFonts w:ascii="宋体"/>
                <w:b/>
                <w:bCs/>
                <w:color w:val="000000"/>
                <w:sz w:val="21"/>
                <w:szCs w:val="21"/>
              </w:rPr>
            </w:pPr>
            <w:r>
              <w:rPr>
                <w:rFonts w:hint="eastAsia" w:ascii="宋体" w:hAnsi="宋体" w:cs="宋体"/>
                <w:b/>
                <w:bCs/>
                <w:color w:val="000000"/>
                <w:sz w:val="21"/>
                <w:szCs w:val="21"/>
              </w:rPr>
              <w:t>满意度</w:t>
            </w:r>
          </w:p>
        </w:tc>
        <w:tc>
          <w:tcPr>
            <w:tcW w:w="1260" w:type="dxa"/>
            <w:shd w:val="clear" w:color="auto" w:fill="00B0F0"/>
            <w:vAlign w:val="center"/>
          </w:tcPr>
          <w:p>
            <w:pPr>
              <w:pStyle w:val="9"/>
              <w:spacing w:before="78" w:after="78" w:line="440" w:lineRule="exact"/>
              <w:ind w:right="44" w:firstLine="0" w:firstLineChars="0"/>
              <w:jc w:val="center"/>
              <w:rPr>
                <w:rFonts w:hint="default" w:ascii="宋体" w:eastAsia="宋体"/>
                <w:b/>
                <w:bCs/>
                <w:color w:val="000000"/>
                <w:sz w:val="21"/>
                <w:szCs w:val="21"/>
                <w:lang w:val="en-US" w:eastAsia="zh-CN"/>
              </w:rPr>
            </w:pPr>
            <w:r>
              <w:rPr>
                <w:rFonts w:ascii="宋体" w:hAnsi="宋体" w:cs="宋体"/>
                <w:b/>
                <w:bCs/>
                <w:color w:val="000000"/>
                <w:sz w:val="21"/>
                <w:szCs w:val="21"/>
              </w:rPr>
              <w:t>20</w:t>
            </w:r>
            <w:r>
              <w:rPr>
                <w:rFonts w:hint="eastAsia" w:ascii="宋体" w:hAnsi="宋体" w:cs="宋体"/>
                <w:b/>
                <w:bCs/>
                <w:color w:val="000000"/>
                <w:sz w:val="21"/>
                <w:szCs w:val="21"/>
                <w:lang w:val="en-US" w:eastAsia="zh-CN"/>
              </w:rPr>
              <w:t>22</w:t>
            </w:r>
          </w:p>
        </w:tc>
        <w:tc>
          <w:tcPr>
            <w:tcW w:w="1440" w:type="dxa"/>
            <w:shd w:val="clear" w:color="auto" w:fill="00B0F0"/>
            <w:vAlign w:val="center"/>
          </w:tcPr>
          <w:p>
            <w:pPr>
              <w:pStyle w:val="9"/>
              <w:spacing w:before="78" w:after="78" w:line="440" w:lineRule="exact"/>
              <w:ind w:right="44" w:firstLine="0" w:firstLineChars="0"/>
              <w:jc w:val="center"/>
              <w:rPr>
                <w:rFonts w:hint="default" w:ascii="宋体" w:eastAsia="宋体"/>
                <w:b/>
                <w:bCs/>
                <w:color w:val="000000"/>
                <w:sz w:val="21"/>
                <w:szCs w:val="21"/>
                <w:lang w:val="en-US" w:eastAsia="zh-CN"/>
              </w:rPr>
            </w:pPr>
            <w:r>
              <w:rPr>
                <w:rFonts w:ascii="宋体" w:hAnsi="宋体" w:cs="宋体"/>
                <w:b/>
                <w:bCs/>
                <w:color w:val="000000"/>
                <w:sz w:val="21"/>
                <w:szCs w:val="21"/>
              </w:rPr>
              <w:t>20</w:t>
            </w:r>
            <w:r>
              <w:rPr>
                <w:rFonts w:hint="eastAsia" w:ascii="宋体" w:hAnsi="宋体" w:cs="宋体"/>
                <w:b/>
                <w:bCs/>
                <w:color w:val="000000"/>
                <w:sz w:val="21"/>
                <w:szCs w:val="21"/>
                <w:lang w:val="en-US" w:eastAsia="zh-CN"/>
              </w:rPr>
              <w:t>23</w:t>
            </w:r>
          </w:p>
        </w:tc>
        <w:tc>
          <w:tcPr>
            <w:tcW w:w="1440" w:type="dxa"/>
            <w:shd w:val="clear" w:color="auto" w:fill="00B0F0"/>
            <w:vAlign w:val="center"/>
          </w:tcPr>
          <w:p>
            <w:pPr>
              <w:pStyle w:val="9"/>
              <w:spacing w:before="78" w:after="78" w:line="440" w:lineRule="exact"/>
              <w:ind w:right="44" w:firstLine="0" w:firstLineChars="0"/>
              <w:jc w:val="center"/>
              <w:rPr>
                <w:rFonts w:hint="default" w:ascii="宋体" w:eastAsia="宋体"/>
                <w:b/>
                <w:bCs/>
                <w:color w:val="000000"/>
                <w:sz w:val="21"/>
                <w:szCs w:val="21"/>
                <w:lang w:val="en-US" w:eastAsia="zh-CN"/>
              </w:rPr>
            </w:pPr>
            <w:r>
              <w:rPr>
                <w:rFonts w:ascii="宋体" w:hAnsi="宋体" w:cs="宋体"/>
                <w:b/>
                <w:bCs/>
                <w:color w:val="000000"/>
                <w:sz w:val="21"/>
                <w:szCs w:val="21"/>
              </w:rPr>
              <w:t>20</w:t>
            </w:r>
            <w:r>
              <w:rPr>
                <w:rFonts w:hint="eastAsia" w:ascii="宋体" w:hAnsi="宋体" w:cs="宋体"/>
                <w:b/>
                <w:bCs/>
                <w:color w:val="000000"/>
                <w:sz w:val="21"/>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vAlign w:val="center"/>
          </w:tcPr>
          <w:p>
            <w:pPr>
              <w:pStyle w:val="9"/>
              <w:spacing w:before="78" w:after="78" w:line="440" w:lineRule="exact"/>
              <w:ind w:right="44" w:firstLine="0" w:firstLineChars="0"/>
              <w:jc w:val="center"/>
              <w:rPr>
                <w:rFonts w:ascii="宋体"/>
                <w:color w:val="000000"/>
                <w:sz w:val="21"/>
                <w:szCs w:val="21"/>
              </w:rPr>
            </w:pPr>
            <w:r>
              <w:rPr>
                <w:rFonts w:hint="eastAsia" w:ascii="宋体" w:hAnsi="宋体" w:cs="宋体"/>
                <w:color w:val="000000"/>
                <w:sz w:val="21"/>
                <w:szCs w:val="21"/>
              </w:rPr>
              <w:t>满意度</w:t>
            </w:r>
          </w:p>
        </w:tc>
        <w:tc>
          <w:tcPr>
            <w:tcW w:w="1260" w:type="dxa"/>
            <w:vAlign w:val="center"/>
          </w:tcPr>
          <w:p>
            <w:pPr>
              <w:jc w:val="center"/>
              <w:rPr>
                <w:rFonts w:hAnsi="Times New Roman"/>
                <w:color w:val="auto"/>
                <w:kern w:val="0"/>
                <w:lang w:val="en-US"/>
              </w:rPr>
            </w:pPr>
            <w:r>
              <w:rPr>
                <w:rFonts w:hint="eastAsia" w:ascii="宋体" w:cs="宋体"/>
                <w:color w:val="000000"/>
                <w:szCs w:val="21"/>
              </w:rPr>
              <w:t>9</w:t>
            </w:r>
            <w:r>
              <w:rPr>
                <w:rFonts w:hint="eastAsia" w:ascii="宋体" w:cs="宋体"/>
                <w:color w:val="000000"/>
                <w:szCs w:val="21"/>
                <w:lang w:val="en-US" w:eastAsia="zh-CN"/>
              </w:rPr>
              <w:t>7%</w:t>
            </w:r>
          </w:p>
        </w:tc>
        <w:tc>
          <w:tcPr>
            <w:tcW w:w="1440" w:type="dxa"/>
            <w:vAlign w:val="center"/>
          </w:tcPr>
          <w:p>
            <w:pPr>
              <w:jc w:val="center"/>
              <w:rPr>
                <w:rFonts w:hAnsi="Times New Roman"/>
                <w:color w:val="auto"/>
                <w:kern w:val="0"/>
                <w:lang w:val="en-US"/>
              </w:rPr>
            </w:pPr>
            <w:r>
              <w:rPr>
                <w:rFonts w:hint="eastAsia" w:ascii="宋体" w:cs="宋体"/>
                <w:color w:val="000000"/>
                <w:szCs w:val="21"/>
              </w:rPr>
              <w:t>9</w:t>
            </w:r>
            <w:r>
              <w:rPr>
                <w:rFonts w:hint="eastAsia" w:ascii="宋体" w:cs="宋体"/>
                <w:color w:val="000000"/>
                <w:szCs w:val="21"/>
                <w:lang w:val="en-US" w:eastAsia="zh-CN"/>
              </w:rPr>
              <w:t>7</w:t>
            </w:r>
            <w:r>
              <w:rPr>
                <w:rFonts w:hint="eastAsia" w:ascii="宋体" w:cs="宋体"/>
                <w:color w:val="000000"/>
                <w:szCs w:val="21"/>
              </w:rPr>
              <w:t>.</w:t>
            </w:r>
            <w:r>
              <w:rPr>
                <w:rFonts w:hint="eastAsia" w:ascii="宋体" w:cs="宋体"/>
                <w:color w:val="000000"/>
                <w:szCs w:val="21"/>
                <w:lang w:val="en-US" w:eastAsia="zh-CN"/>
              </w:rPr>
              <w:t>37%</w:t>
            </w:r>
          </w:p>
        </w:tc>
        <w:tc>
          <w:tcPr>
            <w:tcW w:w="1440" w:type="dxa"/>
            <w:vAlign w:val="center"/>
          </w:tcPr>
          <w:p>
            <w:pPr>
              <w:jc w:val="center"/>
              <w:rPr>
                <w:rFonts w:hAnsi="Times New Roman"/>
                <w:color w:val="auto"/>
                <w:kern w:val="0"/>
                <w:lang w:val="en-US"/>
              </w:rPr>
            </w:pPr>
            <w:r>
              <w:rPr>
                <w:rFonts w:hint="eastAsia" w:ascii="宋体" w:cs="宋体"/>
                <w:color w:val="000000"/>
                <w:szCs w:val="21"/>
              </w:rPr>
              <w:t>9</w:t>
            </w:r>
            <w:r>
              <w:rPr>
                <w:rFonts w:hint="eastAsia" w:ascii="宋体" w:cs="宋体"/>
                <w:color w:val="000000"/>
                <w:szCs w:val="21"/>
                <w:lang w:val="en-US" w:eastAsia="zh-CN"/>
              </w:rPr>
              <w:t>7.4%</w:t>
            </w:r>
          </w:p>
        </w:tc>
      </w:tr>
    </w:tbl>
    <w:p>
      <w:pPr>
        <w:pStyle w:val="2"/>
        <w:rPr>
          <w:sz w:val="32"/>
          <w:szCs w:val="32"/>
        </w:rPr>
      </w:pPr>
      <w:r>
        <w:rPr>
          <w:rFonts w:hint="eastAsia" w:cs="宋体"/>
          <w:sz w:val="32"/>
          <w:szCs w:val="32"/>
        </w:rPr>
        <w:t>四、在促进环境及生态可持续发展方面履行的社会责任</w:t>
      </w:r>
      <w:bookmarkEnd w:id="10"/>
    </w:p>
    <w:p>
      <w:pPr>
        <w:spacing w:line="360" w:lineRule="auto"/>
        <w:ind w:firstLine="480" w:firstLineChars="200"/>
        <w:rPr>
          <w:rFonts w:ascii="??_GB2312" w:eastAsia="Times New Roman"/>
          <w:sz w:val="24"/>
          <w:szCs w:val="24"/>
        </w:rPr>
      </w:pPr>
      <w:r>
        <w:rPr>
          <w:rFonts w:ascii="??_GB2312" w:eastAsia="Times New Roman"/>
          <w:sz w:val="24"/>
          <w:szCs w:val="24"/>
        </w:rPr>
        <w:t>公司顺应未来低碳经济发展方向，努力打造绿色产品生产链，从能源节约、清洁生产过程、清洁产品几方面着手，抓好产品生命周期全过程和生产全过程的控制，力求使生产经营对环境的影响降到最低限度，致力于推动整个产业链的绿色环保，并在不断创新中探索出一条向新型发展方式转变的道路，致力于环保设施的建设，引进了先进的废气净化装置、固废储存设施等设备设施，在促进环境及生态可持续发展方面为社会做出了重大贡献。</w:t>
      </w:r>
    </w:p>
    <w:p>
      <w:pPr>
        <w:pStyle w:val="3"/>
        <w:rPr>
          <w:rFonts w:cs="Times New Roman"/>
          <w:b w:val="0"/>
          <w:bCs w:val="0"/>
          <w:sz w:val="30"/>
          <w:szCs w:val="30"/>
        </w:rPr>
      </w:pPr>
      <w:bookmarkStart w:id="11" w:name="_Toc12636"/>
      <w:r>
        <w:rPr>
          <w:rFonts w:hint="eastAsia" w:cs="黑体"/>
          <w:b w:val="0"/>
          <w:bCs w:val="0"/>
          <w:sz w:val="30"/>
          <w:szCs w:val="30"/>
        </w:rPr>
        <w:t>（一）注重能源节约</w:t>
      </w:r>
      <w:bookmarkEnd w:id="11"/>
    </w:p>
    <w:p>
      <w:pPr>
        <w:spacing w:line="360" w:lineRule="auto"/>
        <w:ind w:firstLine="480" w:firstLineChars="200"/>
        <w:rPr>
          <w:rFonts w:ascii="??_GB2312" w:eastAsia="Times New Roman"/>
          <w:sz w:val="24"/>
          <w:szCs w:val="24"/>
        </w:rPr>
      </w:pPr>
      <w:r>
        <w:rPr>
          <w:rFonts w:hint="eastAsia" w:ascii="??_GB2312"/>
          <w:sz w:val="24"/>
          <w:szCs w:val="24"/>
          <w:lang w:val="en-US" w:eastAsia="zh-CN"/>
        </w:rPr>
        <w:t>生产</w:t>
      </w:r>
      <w:r>
        <w:rPr>
          <w:rFonts w:ascii="??_GB2312" w:eastAsia="Times New Roman"/>
          <w:sz w:val="24"/>
          <w:szCs w:val="24"/>
        </w:rPr>
        <w:t>产品制造需消耗水、电、气等各种资能源，因此公司始终将能源节约作为重点工作常抓不懈，通过强化能源计量监控体系建设，加强新型节能装备与技术的推广应用和节能技术改造，不断提升能源利用效率，积极推进“两型”企业建设。</w:t>
      </w:r>
    </w:p>
    <w:p>
      <w:pPr>
        <w:spacing w:line="360" w:lineRule="auto"/>
        <w:ind w:firstLine="480" w:firstLineChars="200"/>
        <w:rPr>
          <w:rFonts w:ascii="??_GB2312" w:eastAsia="Times New Roman"/>
          <w:sz w:val="24"/>
          <w:szCs w:val="24"/>
        </w:rPr>
      </w:pPr>
      <w:r>
        <w:rPr>
          <w:rFonts w:ascii="??_GB2312" w:eastAsia="Times New Roman"/>
          <w:sz w:val="24"/>
          <w:szCs w:val="24"/>
        </w:rPr>
        <w:t>公司通过提升现有工艺设备水平以及绿色生产水平的措施和精细化管理水平，提高现有生产设备能源的利用效率和降低浪费。生产设备主要在淘汰落后设备、简化工艺流程、自动化改造等方面做了改进，整改后的设备单位产值能耗和增加值能耗指标都呈下降趋势，对公司的自身产业升级和节能降耗起到了重要作用。强化能源计量管理，加强能资源消耗的日常监控；每条生产线和每个车间单独计量用电量，每个区域单独计量用水量，积极实施技术改造项目，每年实现节能效益</w:t>
      </w:r>
      <w:r>
        <w:rPr>
          <w:rFonts w:ascii="??_GB2312" w:eastAsia="Times New Roman" w:cs="??_GB2312"/>
          <w:sz w:val="24"/>
          <w:szCs w:val="24"/>
        </w:rPr>
        <w:t>50</w:t>
      </w:r>
      <w:r>
        <w:rPr>
          <w:rFonts w:ascii="??_GB2312" w:eastAsia="Times New Roman"/>
          <w:sz w:val="24"/>
          <w:szCs w:val="24"/>
        </w:rPr>
        <w:t>万元以上，综合能耗下降</w:t>
      </w:r>
      <w:r>
        <w:rPr>
          <w:rFonts w:ascii="??_GB2312" w:eastAsia="Times New Roman" w:cs="??_GB2312"/>
          <w:sz w:val="24"/>
          <w:szCs w:val="24"/>
        </w:rPr>
        <w:t>10%</w:t>
      </w:r>
      <w:r>
        <w:rPr>
          <w:rFonts w:ascii="??_GB2312" w:eastAsia="Times New Roman"/>
          <w:sz w:val="24"/>
          <w:szCs w:val="24"/>
        </w:rPr>
        <w:t>以上。</w:t>
      </w:r>
    </w:p>
    <w:p>
      <w:pPr>
        <w:pStyle w:val="3"/>
        <w:rPr>
          <w:rFonts w:cs="Times New Roman"/>
          <w:b w:val="0"/>
          <w:bCs w:val="0"/>
          <w:sz w:val="30"/>
          <w:szCs w:val="30"/>
        </w:rPr>
      </w:pPr>
      <w:bookmarkStart w:id="12" w:name="_Toc31234"/>
      <w:r>
        <w:rPr>
          <w:rFonts w:hint="eastAsia" w:cs="黑体"/>
          <w:b w:val="0"/>
          <w:bCs w:val="0"/>
          <w:sz w:val="30"/>
          <w:szCs w:val="30"/>
        </w:rPr>
        <w:t>（二）注重清洁生产过程</w:t>
      </w:r>
      <w:bookmarkEnd w:id="12"/>
    </w:p>
    <w:p>
      <w:pPr>
        <w:spacing w:line="360" w:lineRule="auto"/>
        <w:ind w:firstLine="480" w:firstLineChars="200"/>
        <w:rPr>
          <w:rFonts w:ascii="??_GB2312" w:eastAsia="Times New Roman" w:cs="??_GB2312"/>
          <w:sz w:val="24"/>
          <w:szCs w:val="24"/>
        </w:rPr>
      </w:pPr>
      <w:r>
        <w:rPr>
          <w:rFonts w:ascii="??_GB2312" w:eastAsia="Times New Roman"/>
          <w:sz w:val="24"/>
          <w:szCs w:val="24"/>
        </w:rPr>
        <w:t>公司导入先进的精益生产模式，引进多台自动、半自动生产设备，建成体现时代特色、与自然融合的</w:t>
      </w:r>
      <w:r>
        <w:rPr>
          <w:rFonts w:hint="eastAsia" w:ascii="??_GB2312" w:eastAsia="Times New Roman"/>
          <w:sz w:val="24"/>
          <w:szCs w:val="24"/>
        </w:rPr>
        <w:t>美丽企业庭院</w:t>
      </w:r>
      <w:r>
        <w:rPr>
          <w:rFonts w:ascii="??_GB2312" w:eastAsia="Times New Roman"/>
          <w:sz w:val="24"/>
          <w:szCs w:val="24"/>
        </w:rPr>
        <w:t xml:space="preserve">。公司绿化率为20%以上 ，厂区内绿化可以美化环境容貌，滞尘降噪，改善区环境小气候。同时，公司十分注重节能减排，实现生产废水零排放。 </w:t>
      </w:r>
    </w:p>
    <w:p>
      <w:pPr>
        <w:pStyle w:val="3"/>
        <w:rPr>
          <w:rFonts w:cs="Times New Roman"/>
          <w:b w:val="0"/>
          <w:bCs w:val="0"/>
          <w:sz w:val="30"/>
          <w:szCs w:val="30"/>
        </w:rPr>
      </w:pPr>
      <w:bookmarkStart w:id="13" w:name="_Toc26188"/>
      <w:r>
        <w:rPr>
          <w:rFonts w:hint="eastAsia" w:cs="黑体"/>
          <w:b w:val="0"/>
          <w:bCs w:val="0"/>
          <w:sz w:val="30"/>
          <w:szCs w:val="30"/>
        </w:rPr>
        <w:t>（三）注重强化创新驱动</w:t>
      </w:r>
      <w:bookmarkEnd w:id="13"/>
    </w:p>
    <w:p>
      <w:pPr>
        <w:spacing w:line="360" w:lineRule="auto"/>
        <w:ind w:firstLine="480" w:firstLineChars="200"/>
        <w:rPr>
          <w:rFonts w:ascii="??_GB2312" w:eastAsia="Times New Roman"/>
          <w:sz w:val="24"/>
          <w:szCs w:val="24"/>
        </w:rPr>
      </w:pPr>
      <w:r>
        <w:rPr>
          <w:rFonts w:ascii="??_GB2312" w:eastAsia="Times New Roman"/>
          <w:sz w:val="24"/>
          <w:szCs w:val="24"/>
        </w:rPr>
        <w:t>公司不仅在生产过程中注重节能减排，更下大力气开发更多符合节能环保要求的高端领域新产品，将节能环保理念向门业行业的上下游领域延伸。</w:t>
      </w:r>
    </w:p>
    <w:p>
      <w:pPr>
        <w:spacing w:line="360" w:lineRule="auto"/>
        <w:ind w:firstLine="480" w:firstLineChars="200"/>
        <w:rPr>
          <w:rFonts w:ascii="??_GB2312" w:eastAsia="Times New Roman"/>
          <w:color w:val="0000FF"/>
          <w:sz w:val="24"/>
          <w:szCs w:val="24"/>
        </w:rPr>
      </w:pPr>
      <w:r>
        <w:rPr>
          <w:rFonts w:ascii="??_GB2312" w:eastAsia="Times New Roman"/>
          <w:sz w:val="24"/>
          <w:szCs w:val="24"/>
        </w:rPr>
        <w:t>为保护环境，实现清洁生产</w:t>
      </w:r>
      <w:r>
        <w:rPr>
          <w:rFonts w:ascii="??_GB2312" w:eastAsia="Times New Roman" w:cs="??_GB2312"/>
          <w:sz w:val="24"/>
          <w:szCs w:val="24"/>
        </w:rPr>
        <w:t>,</w:t>
      </w:r>
      <w:r>
        <w:rPr>
          <w:rFonts w:ascii="??_GB2312" w:eastAsia="Times New Roman"/>
          <w:sz w:val="24"/>
          <w:szCs w:val="24"/>
        </w:rPr>
        <w:t>公司坚持产品研发高端化战略，进一步完善技术的研发架构，不断加大对新产品的研究和开发力度。不断提升公司的产品开发、基础实验和综合检测能力，将开发更舒适、更环保、更具有个性化的产品解决方案作为研发方向，提升技术含量，保持技术领先地位。截止目前，公司共拥有专利近</w:t>
      </w:r>
      <w:r>
        <w:rPr>
          <w:rFonts w:hint="eastAsia" w:ascii="??_GB2312" w:eastAsia="Times New Roman"/>
          <w:sz w:val="24"/>
          <w:szCs w:val="24"/>
          <w:lang w:val="en-US" w:eastAsia="zh-CN"/>
        </w:rPr>
        <w:t>30</w:t>
      </w:r>
      <w:r>
        <w:rPr>
          <w:rFonts w:ascii="??_GB2312" w:eastAsia="Times New Roman"/>
          <w:sz w:val="24"/>
          <w:szCs w:val="24"/>
        </w:rPr>
        <w:t>项。</w:t>
      </w:r>
    </w:p>
    <w:p>
      <w:pPr>
        <w:spacing w:line="360" w:lineRule="auto"/>
        <w:ind w:firstLine="480" w:firstLineChars="200"/>
        <w:rPr>
          <w:rFonts w:ascii="??_GB2312" w:eastAsia="Times New Roman"/>
          <w:sz w:val="24"/>
          <w:szCs w:val="24"/>
        </w:rPr>
      </w:pPr>
      <w:r>
        <w:rPr>
          <w:rFonts w:ascii="??_GB2312" w:eastAsia="Times New Roman"/>
          <w:sz w:val="24"/>
          <w:szCs w:val="24"/>
        </w:rPr>
        <w:t>采用新原料、新工艺，降低物耗、能耗，节约用水，改善环境，积极推行清洁生产技术，实现技术、品牌、质量、性能、节能环保等方面在行业内的全面领先。</w:t>
      </w:r>
    </w:p>
    <w:p>
      <w:pPr>
        <w:spacing w:line="360" w:lineRule="auto"/>
        <w:ind w:firstLine="480" w:firstLineChars="200"/>
        <w:rPr>
          <w:rFonts w:ascii="??_GB2312" w:eastAsia="Times New Roman"/>
          <w:sz w:val="24"/>
          <w:szCs w:val="24"/>
        </w:rPr>
      </w:pPr>
      <w:r>
        <w:rPr>
          <w:rFonts w:ascii="??_GB2312" w:eastAsia="Times New Roman"/>
          <w:sz w:val="24"/>
          <w:szCs w:val="24"/>
        </w:rPr>
        <w:t>提升自动化水平，减少劳动强度，公司十分重视技术改造工作，关键设备数量多年来一直在增加</w:t>
      </w:r>
      <w:r>
        <w:rPr>
          <w:rFonts w:ascii="??_GB2312" w:eastAsia="Times New Roman"/>
          <w:color w:val="auto"/>
          <w:sz w:val="24"/>
          <w:szCs w:val="24"/>
        </w:rPr>
        <w:t>，目前主要有</w:t>
      </w:r>
      <w:r>
        <w:rPr>
          <w:rFonts w:hint="eastAsia" w:ascii="??_GB2312" w:eastAsia="Times New Roman"/>
          <w:color w:val="auto"/>
          <w:sz w:val="24"/>
          <w:szCs w:val="24"/>
        </w:rPr>
        <w:t>结晶器</w:t>
      </w:r>
      <w:r>
        <w:rPr>
          <w:rFonts w:hint="eastAsia" w:ascii="??_GB2312"/>
          <w:color w:val="auto"/>
          <w:sz w:val="24"/>
          <w:szCs w:val="24"/>
          <w:lang w:eastAsia="zh-CN"/>
        </w:rPr>
        <w:t>、电阻炉、铜材液压全自动拉拔机、井式炉</w:t>
      </w:r>
      <w:r>
        <w:rPr>
          <w:rFonts w:ascii="??_GB2312" w:eastAsia="Times New Roman"/>
          <w:color w:val="auto"/>
          <w:sz w:val="24"/>
          <w:szCs w:val="24"/>
        </w:rPr>
        <w:t>等生产设备，大部分设备为国内先进。预计</w:t>
      </w:r>
      <w:r>
        <w:rPr>
          <w:rFonts w:ascii="??_GB2312" w:eastAsia="Times New Roman"/>
          <w:sz w:val="24"/>
          <w:szCs w:val="24"/>
        </w:rPr>
        <w:t>未来仍将继续加大关键设备的购入或联合研发自动化智造设备。</w:t>
      </w:r>
    </w:p>
    <w:p>
      <w:pPr>
        <w:pStyle w:val="2"/>
        <w:rPr>
          <w:sz w:val="36"/>
          <w:szCs w:val="36"/>
        </w:rPr>
      </w:pPr>
      <w:bookmarkStart w:id="14" w:name="_Toc31407"/>
      <w:r>
        <w:rPr>
          <w:rFonts w:hint="eastAsia" w:cs="宋体"/>
          <w:sz w:val="36"/>
          <w:szCs w:val="36"/>
        </w:rPr>
        <w:t>五、在促进社会可持续发展方面履行的社会责任</w:t>
      </w:r>
      <w:bookmarkEnd w:id="14"/>
    </w:p>
    <w:p>
      <w:pPr>
        <w:pStyle w:val="3"/>
        <w:rPr>
          <w:rFonts w:cs="Times New Roman"/>
          <w:b w:val="0"/>
          <w:bCs w:val="0"/>
          <w:sz w:val="30"/>
          <w:szCs w:val="30"/>
        </w:rPr>
      </w:pPr>
      <w:bookmarkStart w:id="15" w:name="_Toc28145"/>
      <w:r>
        <w:rPr>
          <w:rFonts w:hint="eastAsia" w:cs="黑体"/>
          <w:b w:val="0"/>
          <w:bCs w:val="0"/>
          <w:sz w:val="30"/>
          <w:szCs w:val="30"/>
        </w:rPr>
        <w:t>（一）保障股东权益</w:t>
      </w:r>
      <w:bookmarkEnd w:id="15"/>
    </w:p>
    <w:p>
      <w:pPr>
        <w:spacing w:line="360" w:lineRule="auto"/>
        <w:ind w:firstLine="480" w:firstLineChars="200"/>
        <w:rPr>
          <w:rFonts w:ascii="??_GB2312" w:eastAsia="Times New Roman"/>
          <w:sz w:val="24"/>
          <w:szCs w:val="24"/>
        </w:rPr>
      </w:pPr>
      <w:r>
        <w:rPr>
          <w:rFonts w:ascii="??_GB2312" w:eastAsia="Times New Roman"/>
          <w:sz w:val="24"/>
          <w:szCs w:val="24"/>
        </w:rPr>
        <w:t>公司自成立以来，严格按照《公司法》、《公司章程》等有关法律法规和规章制度的要求，规范运作，不断完善公司治理结构，公平对待所有股东，确保股东充分享有法律、法规、规章所规定的各项权益。公司制定并完善了《公司章程》、《股东会议事规则》、《董事会议事规则》、《监事会议事规则》、《资金使用和管理办法》、《采购控制程序》、</w:t>
      </w:r>
      <w:r>
        <w:rPr>
          <w:rFonts w:ascii="??_GB2312" w:eastAsia="Times New Roman" w:cs="??_GB2312"/>
          <w:sz w:val="24"/>
          <w:szCs w:val="24"/>
        </w:rPr>
        <w:t xml:space="preserve"> </w:t>
      </w:r>
      <w:r>
        <w:rPr>
          <w:rFonts w:ascii="??_GB2312" w:eastAsia="Times New Roman"/>
          <w:sz w:val="24"/>
          <w:szCs w:val="24"/>
        </w:rPr>
        <w:t>《生产控制程序》、</w:t>
      </w:r>
      <w:r>
        <w:rPr>
          <w:rFonts w:ascii="??_GB2312" w:eastAsia="Times New Roman" w:cs="??_GB2312"/>
          <w:sz w:val="24"/>
          <w:szCs w:val="24"/>
        </w:rPr>
        <w:t xml:space="preserve"> </w:t>
      </w:r>
      <w:r>
        <w:rPr>
          <w:rFonts w:ascii="??_GB2312" w:eastAsia="Times New Roman"/>
          <w:sz w:val="24"/>
          <w:szCs w:val="24"/>
        </w:rPr>
        <w:t>《顾客满意度监测管理程序》、《内部问责制度》等规章制度，公司董事会、监事会操作规范、运作有效，充分维护了股东、员工和和客户的利益。</w:t>
      </w:r>
    </w:p>
    <w:p>
      <w:pPr>
        <w:spacing w:line="360" w:lineRule="auto"/>
        <w:ind w:firstLine="480" w:firstLineChars="200"/>
        <w:rPr>
          <w:rFonts w:ascii="??_GB2312" w:eastAsia="Times New Roman"/>
          <w:i/>
          <w:iCs/>
          <w:color w:val="000000"/>
          <w:sz w:val="24"/>
          <w:szCs w:val="24"/>
        </w:rPr>
      </w:pPr>
      <w:r>
        <w:rPr>
          <w:rFonts w:ascii="??_GB2312" w:eastAsia="Times New Roman"/>
          <w:sz w:val="24"/>
          <w:szCs w:val="24"/>
        </w:rPr>
        <w:t>公司以股东利益最大化为目标，追求卓越的运营表现，让股东充分分享公司良好的经营成果</w:t>
      </w:r>
      <w:r>
        <w:rPr>
          <w:rFonts w:ascii="??_GB2312" w:eastAsia="Times New Roman"/>
          <w:i/>
          <w:iCs/>
          <w:color w:val="000000"/>
          <w:sz w:val="24"/>
          <w:szCs w:val="24"/>
        </w:rPr>
        <w:t>。</w:t>
      </w:r>
    </w:p>
    <w:p>
      <w:pPr>
        <w:spacing w:line="360" w:lineRule="auto"/>
        <w:ind w:firstLine="480" w:firstLineChars="200"/>
        <w:rPr>
          <w:rFonts w:ascii="??_GB2312" w:eastAsia="Times New Roman"/>
          <w:sz w:val="24"/>
          <w:szCs w:val="24"/>
        </w:rPr>
      </w:pPr>
      <w:r>
        <w:rPr>
          <w:rFonts w:ascii="??_GB2312" w:eastAsia="Times New Roman" w:cs="??_GB2312"/>
          <w:sz w:val="24"/>
          <w:szCs w:val="24"/>
        </w:rPr>
        <w:t>20</w:t>
      </w:r>
      <w:r>
        <w:rPr>
          <w:rFonts w:hint="eastAsia" w:ascii="??_GB2312" w:cs="??_GB2312"/>
          <w:sz w:val="24"/>
          <w:szCs w:val="24"/>
          <w:lang w:val="en-US" w:eastAsia="zh-CN"/>
        </w:rPr>
        <w:t>23</w:t>
      </w:r>
      <w:r>
        <w:rPr>
          <w:rFonts w:ascii="??_GB2312" w:eastAsia="Times New Roman"/>
          <w:sz w:val="24"/>
          <w:szCs w:val="24"/>
        </w:rPr>
        <w:t>年，全球经济以温和的速度缓慢增长，我国宏观经济虽总体运行平稳，但中美贸易战、经济下行压力和风险依然较大，企业经营困难等问题普遍突出。针对市场的现实需求和潜在需求，确定研发方向，做好技术储备，使企业的科技创新能力和市场拓展能力更加协调。依托研发中心，加大研发投入力度，完善“项目为主、全员创新”的企业技术创新体系，培育产业核心技术、关键工艺与自主知识产权，研究开发功能性、差别化产品，提高高附加值产品比重。</w:t>
      </w:r>
    </w:p>
    <w:p>
      <w:pPr>
        <w:spacing w:line="360" w:lineRule="auto"/>
        <w:ind w:firstLine="480" w:firstLineChars="200"/>
        <w:rPr>
          <w:rFonts w:ascii="??_GB2312" w:eastAsia="Times New Roman"/>
          <w:sz w:val="24"/>
          <w:szCs w:val="24"/>
        </w:rPr>
      </w:pPr>
      <w:r>
        <w:rPr>
          <w:rFonts w:ascii="??_GB2312" w:eastAsia="Times New Roman"/>
          <w:sz w:val="24"/>
          <w:szCs w:val="24"/>
        </w:rPr>
        <w:t>采用新原料、新工艺，降低物耗、能耗，节约用电，改善环境，积极推行清洁生产技术，实现技术、品牌、质量、性能、节能环保等方面在行业内的全面领先。</w:t>
      </w:r>
    </w:p>
    <w:p>
      <w:pPr>
        <w:spacing w:line="360" w:lineRule="auto"/>
        <w:ind w:firstLine="480" w:firstLineChars="200"/>
        <w:rPr>
          <w:rFonts w:ascii="??_GB2312" w:eastAsia="Times New Roman"/>
          <w:sz w:val="24"/>
          <w:szCs w:val="24"/>
        </w:rPr>
      </w:pPr>
      <w:r>
        <w:rPr>
          <w:rFonts w:ascii="??_GB2312" w:eastAsia="Times New Roman"/>
          <w:sz w:val="24"/>
          <w:szCs w:val="24"/>
        </w:rPr>
        <w:t>20</w:t>
      </w:r>
      <w:r>
        <w:rPr>
          <w:rFonts w:hint="eastAsia" w:ascii="??_GB2312" w:eastAsia="Times New Roman"/>
          <w:sz w:val="24"/>
          <w:szCs w:val="24"/>
          <w:lang w:val="en-US" w:eastAsia="zh-CN"/>
        </w:rPr>
        <w:t>23</w:t>
      </w:r>
      <w:r>
        <w:rPr>
          <w:rFonts w:ascii="??_GB2312" w:eastAsia="Times New Roman"/>
          <w:sz w:val="24"/>
          <w:szCs w:val="24"/>
        </w:rPr>
        <w:t>年，公司抓住国内经济发展的历史机遇，以及国家促内销的大好时机，充分利用公司</w:t>
      </w:r>
      <w:r>
        <w:rPr>
          <w:rFonts w:hint="eastAsia" w:ascii="??_GB2312" w:eastAsia="Times New Roman"/>
          <w:sz w:val="24"/>
          <w:szCs w:val="24"/>
          <w:lang w:val="en-US" w:eastAsia="zh-CN"/>
        </w:rPr>
        <w:t>花园</w:t>
      </w:r>
      <w:r>
        <w:rPr>
          <w:rFonts w:ascii="??_GB2312" w:eastAsia="Times New Roman"/>
          <w:sz w:val="24"/>
          <w:szCs w:val="24"/>
        </w:rPr>
        <w:t>品牌和竞争优势，重点抓好营销渠道市场的拓展，加强售前及售后服务能力的建设，实现公司持续、健康和快速发展。</w:t>
      </w:r>
    </w:p>
    <w:p>
      <w:pPr>
        <w:spacing w:line="360" w:lineRule="auto"/>
        <w:ind w:firstLine="480" w:firstLineChars="200"/>
        <w:rPr>
          <w:rFonts w:ascii="??_GB2312" w:eastAsia="Times New Roman"/>
          <w:sz w:val="24"/>
          <w:szCs w:val="24"/>
        </w:rPr>
      </w:pPr>
      <w:r>
        <w:rPr>
          <w:rFonts w:ascii="??_GB2312" w:eastAsia="Times New Roman"/>
          <w:sz w:val="24"/>
          <w:szCs w:val="24"/>
        </w:rPr>
        <w:t>结合有利的市场形势，20</w:t>
      </w:r>
      <w:r>
        <w:rPr>
          <w:rFonts w:hint="eastAsia" w:ascii="??_GB2312" w:eastAsia="Times New Roman"/>
          <w:sz w:val="24"/>
          <w:szCs w:val="24"/>
          <w:lang w:val="en-US" w:eastAsia="zh-CN"/>
        </w:rPr>
        <w:t>23</w:t>
      </w:r>
      <w:r>
        <w:rPr>
          <w:rFonts w:ascii="??_GB2312" w:eastAsia="Times New Roman"/>
          <w:sz w:val="24"/>
          <w:szCs w:val="24"/>
        </w:rPr>
        <w:t xml:space="preserve">年公司不断强化结构调整，突出资源整合；强化科技创新，突出节能减排；强化市场营销，突出市场布局；强化队伍建设，突出文化引领。公司上下统一思想，认清方向，抓住机遇，突出重点，取得了优良的业绩。 </w:t>
      </w:r>
    </w:p>
    <w:p>
      <w:pPr>
        <w:spacing w:before="156" w:beforeLines="50" w:after="156" w:afterLines="50" w:line="360" w:lineRule="auto"/>
        <w:rPr>
          <w:rFonts w:ascii="黑体" w:hAnsi="黑体" w:eastAsia="黑体"/>
          <w:b/>
          <w:sz w:val="32"/>
          <w:szCs w:val="32"/>
        </w:rPr>
      </w:pPr>
      <w:r>
        <w:rPr>
          <w:rFonts w:hint="eastAsia" w:ascii="黑体" w:hAnsi="黑体" w:eastAsia="黑体"/>
          <w:b/>
          <w:sz w:val="32"/>
          <w:szCs w:val="32"/>
          <w:lang w:eastAsia="zh-CN"/>
        </w:rPr>
        <w:t>（</w:t>
      </w:r>
      <w:r>
        <w:rPr>
          <w:rFonts w:hint="eastAsia" w:ascii="黑体" w:hAnsi="黑体" w:eastAsia="黑体"/>
          <w:b/>
          <w:sz w:val="32"/>
          <w:szCs w:val="32"/>
          <w:lang w:val="en-US" w:eastAsia="zh-CN"/>
        </w:rPr>
        <w:t>二</w:t>
      </w:r>
      <w:r>
        <w:rPr>
          <w:rFonts w:hint="eastAsia" w:ascii="黑体" w:hAnsi="黑体" w:eastAsia="黑体"/>
          <w:b/>
          <w:sz w:val="32"/>
          <w:szCs w:val="32"/>
          <w:lang w:eastAsia="zh-CN"/>
        </w:rPr>
        <w:t>）</w:t>
      </w:r>
      <w:r>
        <w:rPr>
          <w:rFonts w:hint="eastAsia" w:ascii="黑体" w:hAnsi="黑体" w:eastAsia="黑体"/>
          <w:b/>
          <w:sz w:val="32"/>
          <w:szCs w:val="32"/>
        </w:rPr>
        <w:t>员工发展</w:t>
      </w:r>
    </w:p>
    <w:p>
      <w:pPr>
        <w:spacing w:line="360" w:lineRule="auto"/>
        <w:ind w:firstLine="480" w:firstLineChars="200"/>
        <w:rPr>
          <w:rFonts w:ascii="??_GB2312" w:eastAsia="Times New Roman"/>
          <w:sz w:val="24"/>
          <w:szCs w:val="24"/>
        </w:rPr>
      </w:pPr>
      <w:r>
        <w:rPr>
          <w:rFonts w:hint="eastAsia" w:ascii="??_GB2312" w:eastAsia="Times New Roman"/>
          <w:sz w:val="24"/>
          <w:szCs w:val="24"/>
        </w:rPr>
        <w:t>公司文化形成了公司人才观：“人才是</w:t>
      </w:r>
      <w:r>
        <w:rPr>
          <w:rFonts w:hint="eastAsia" w:ascii="??_GB2312" w:eastAsia="Times New Roman"/>
          <w:sz w:val="24"/>
          <w:szCs w:val="24"/>
          <w:lang w:val="en-US" w:eastAsia="zh-CN"/>
        </w:rPr>
        <w:t>花园</w:t>
      </w:r>
      <w:r>
        <w:rPr>
          <w:rFonts w:hint="eastAsia" w:ascii="??_GB2312" w:eastAsia="Times New Roman"/>
          <w:sz w:val="24"/>
          <w:szCs w:val="24"/>
        </w:rPr>
        <w:t>最重要的资本。</w:t>
      </w:r>
      <w:r>
        <w:rPr>
          <w:rFonts w:hint="eastAsia" w:ascii="??_GB2312" w:eastAsia="Times New Roman"/>
          <w:sz w:val="24"/>
          <w:szCs w:val="24"/>
          <w:lang w:val="en-US" w:eastAsia="zh-CN"/>
        </w:rPr>
        <w:t>花园</w:t>
      </w:r>
      <w:r>
        <w:rPr>
          <w:rFonts w:hint="eastAsia" w:ascii="??_GB2312" w:eastAsia="Times New Roman"/>
          <w:sz w:val="24"/>
          <w:szCs w:val="24"/>
        </w:rPr>
        <w:t>广纳英才，培养人才，成就一批德才兼备、各有专长的精英团队，与企业荣辱与共，共同发展，成为</w:t>
      </w:r>
      <w:r>
        <w:rPr>
          <w:rFonts w:hint="eastAsia" w:ascii="??_GB2312" w:eastAsia="Times New Roman"/>
          <w:sz w:val="24"/>
          <w:szCs w:val="24"/>
          <w:lang w:val="en-US" w:eastAsia="zh-CN"/>
        </w:rPr>
        <w:t>花园</w:t>
      </w:r>
      <w:r>
        <w:rPr>
          <w:rFonts w:hint="eastAsia" w:ascii="??_GB2312" w:eastAsia="Times New Roman"/>
          <w:sz w:val="24"/>
          <w:szCs w:val="24"/>
        </w:rPr>
        <w:t>事业的中流砥柱。关爱员工，让员工获得事业的成功、财富的增长、学识的进步和心灵的愉悦。”</w:t>
      </w:r>
    </w:p>
    <w:p>
      <w:pPr>
        <w:spacing w:line="360" w:lineRule="auto"/>
        <w:ind w:firstLine="480" w:firstLineChars="200"/>
        <w:rPr>
          <w:rFonts w:ascii="??_GB2312" w:eastAsia="Times New Roman"/>
          <w:sz w:val="24"/>
          <w:szCs w:val="24"/>
        </w:rPr>
      </w:pPr>
      <w:r>
        <w:rPr>
          <w:rFonts w:ascii="??_GB2312" w:eastAsia="Times New Roman"/>
          <w:sz w:val="24"/>
          <w:szCs w:val="24"/>
        </w:rPr>
        <w:t xml:space="preserve"> </w:t>
      </w:r>
      <w:r>
        <w:rPr>
          <w:rFonts w:hint="eastAsia" w:ascii="??_GB2312" w:eastAsia="Times New Roman"/>
          <w:sz w:val="24"/>
          <w:szCs w:val="24"/>
        </w:rPr>
        <w:t>公司通过建立人力资源管理系统，将人力资源作为公司最重要的资源来实施系统化管理，通过关爱员工、培训员工、组织员工进行志愿服务等企业社会责任行动，增强员工凝聚力、储备公司人才、培养员工责任感，最终提升公司的人力价值；</w:t>
      </w:r>
    </w:p>
    <w:p>
      <w:pPr>
        <w:spacing w:line="360" w:lineRule="auto"/>
        <w:ind w:firstLine="480" w:firstLineChars="200"/>
        <w:rPr>
          <w:rFonts w:hint="eastAsia" w:ascii="??_GB2312" w:eastAsia="Times New Roman"/>
          <w:sz w:val="24"/>
          <w:szCs w:val="24"/>
        </w:rPr>
      </w:pPr>
      <w:r>
        <w:rPr>
          <w:rFonts w:hint="eastAsia" w:ascii="??_GB2312" w:eastAsia="Times New Roman"/>
          <w:sz w:val="24"/>
          <w:szCs w:val="24"/>
        </w:rPr>
        <w:t>公司通过建立制度与规范，代表参与、内部晋升、合理化建议等多种形式，为员工的主动参与创造平台。公司设计、组织了管理创新活动、技术创新竞赛等关键业务相关活动，组织公司全员参加，给员工提供施展自身才华的机会，并会根据情况对表现出色的员工给予晋升、资金、培训等奖励，吸引员工主动参与；然后，公司积极组织各类文体活动、社会活动，增强公司员工的向心力，培养员工的主人翁精神，在文化环境上让员工积极主动地参与到公司各项工作中。</w:t>
      </w:r>
    </w:p>
    <w:p>
      <w:pPr>
        <w:spacing w:line="360" w:lineRule="auto"/>
        <w:ind w:firstLine="480" w:firstLineChars="200"/>
        <w:rPr>
          <w:rFonts w:hint="eastAsia" w:ascii="??_GB2312" w:eastAsia="Times New Roman"/>
          <w:sz w:val="24"/>
          <w:szCs w:val="24"/>
        </w:rPr>
      </w:pPr>
      <w:r>
        <w:rPr>
          <w:rFonts w:hint="eastAsia" w:ascii="??_GB2312" w:eastAsia="Times New Roman"/>
          <w:sz w:val="24"/>
          <w:szCs w:val="24"/>
        </w:rPr>
        <w:t>公司倡导建立了“全员创新机制”，根据公司规定，公司技术创新工作不计学历、不计经验，鼓励有志于技术创新的员工主动提交技术创新创意，经专家评审组评审通过或决策层决策通过后，就可以以公司文件正式立项，自主开展相关技术研究和创新工作。同时，公司明确了员工自主参与技术创新的奖励机制，凡有提交通过评审和决策的技术创新创意，或完成技术创新项目的员工，公司都将按照具体指标进行资金、待遇、培训等奖励。</w:t>
      </w:r>
    </w:p>
    <w:p>
      <w:pPr>
        <w:spacing w:line="360" w:lineRule="auto"/>
        <w:ind w:firstLine="480" w:firstLineChars="200"/>
        <w:rPr>
          <w:rFonts w:hint="eastAsia" w:ascii="??_GB2312" w:eastAsia="Times New Roman"/>
          <w:sz w:val="24"/>
          <w:szCs w:val="24"/>
        </w:rPr>
      </w:pPr>
      <w:r>
        <w:rPr>
          <w:rFonts w:hint="eastAsia" w:ascii="??_GB2312" w:eastAsia="Times New Roman"/>
          <w:sz w:val="24"/>
          <w:szCs w:val="24"/>
        </w:rPr>
        <w:t>公司将员工学习和发展视为“投资”，把创建学习型组织，营造全员学习的氛围作为公司长期发展战略的重要组成部分。</w:t>
      </w:r>
    </w:p>
    <w:p>
      <w:pPr>
        <w:spacing w:line="360" w:lineRule="auto"/>
        <w:ind w:firstLine="480" w:firstLineChars="200"/>
        <w:rPr>
          <w:rFonts w:hint="eastAsia" w:ascii="??_GB2312" w:eastAsia="Times New Roman"/>
          <w:sz w:val="24"/>
          <w:szCs w:val="24"/>
        </w:rPr>
      </w:pPr>
      <w:r>
        <w:rPr>
          <w:rFonts w:hint="eastAsia" w:ascii="??_GB2312" w:eastAsia="Times New Roman"/>
          <w:sz w:val="24"/>
          <w:szCs w:val="24"/>
        </w:rPr>
        <w:t xml:space="preserve">公司对于员工开展的教育和培训活动内容，主要由“新员工上岗培训、专业化培训、再教育培训、中高层管理人员培训、决策领导层培养”五个层次组成。公司已将员工培训工作上升到人才培养的高度，紧紧围绕“培养自己需要的人才”这一目标，结合每年年底各部门上报的培训需求，于每年年初制定公司的《年度培训计划》，并对培训目的、培训内容、培训对象、时间、经费、培训方式等做出具体明确的要求。 </w:t>
      </w:r>
    </w:p>
    <w:p>
      <w:pPr>
        <w:spacing w:line="360" w:lineRule="auto"/>
        <w:ind w:firstLine="480" w:firstLineChars="200"/>
        <w:rPr>
          <w:rFonts w:hint="eastAsia" w:ascii="??_GB2312" w:eastAsia="Times New Roman"/>
          <w:sz w:val="24"/>
          <w:szCs w:val="24"/>
        </w:rPr>
      </w:pPr>
      <w:r>
        <w:rPr>
          <w:rFonts w:hint="eastAsia" w:ascii="??_GB2312" w:eastAsia="Times New Roman"/>
          <w:sz w:val="24"/>
          <w:szCs w:val="24"/>
        </w:rPr>
        <w:t>为了更好的储备、培养和挖掘人才，建立合理的人才梯队，公司建立了岗位轮换机制。对一线生产班组长，生产骨干的岗位进行轮换。</w:t>
      </w:r>
    </w:p>
    <w:p>
      <w:pPr>
        <w:spacing w:line="360" w:lineRule="auto"/>
        <w:ind w:firstLine="480" w:firstLineChars="200"/>
        <w:rPr>
          <w:rFonts w:hint="eastAsia" w:ascii="??_GB2312" w:eastAsia="Times New Roman"/>
          <w:sz w:val="24"/>
          <w:szCs w:val="24"/>
        </w:rPr>
      </w:pPr>
      <w:r>
        <w:rPr>
          <w:rFonts w:hint="eastAsia" w:ascii="??_GB2312" w:eastAsia="Times New Roman"/>
          <w:sz w:val="24"/>
          <w:szCs w:val="24"/>
        </w:rPr>
        <w:t>对新引进的专业的人才下基层进行轮岗锻炼，加强其生产意识和实践经验，通过对其锻炼期间的表现进行综合评定，选择符合公司人才规则的优秀员工进入管理层从事管理工作。</w:t>
      </w:r>
    </w:p>
    <w:p>
      <w:pPr>
        <w:spacing w:line="360" w:lineRule="auto"/>
        <w:ind w:firstLine="480" w:firstLineChars="200"/>
        <w:rPr>
          <w:rFonts w:hint="eastAsia" w:ascii="??_GB2312" w:eastAsia="Times New Roman"/>
          <w:sz w:val="24"/>
          <w:szCs w:val="24"/>
        </w:rPr>
      </w:pPr>
      <w:r>
        <w:rPr>
          <w:rFonts w:hint="eastAsia" w:ascii="??_GB2312" w:eastAsia="Times New Roman"/>
          <w:sz w:val="24"/>
          <w:szCs w:val="24"/>
        </w:rPr>
        <w:t>引导员工个人发展与公司发展相适应，为员工的职业发展提供了必要的支持。公司实施人才培训项目主要有：一、鼓励培养“一人多岗”“一岗多才”的复合型人才；二、对一些提升员工业务、技术素质的培训活动，由办公室上报公司分管领导批准后，公费为员工提供培训机会。</w:t>
      </w:r>
    </w:p>
    <w:p>
      <w:pPr>
        <w:spacing w:line="360" w:lineRule="auto"/>
        <w:ind w:firstLine="480" w:firstLineChars="200"/>
        <w:rPr>
          <w:rFonts w:ascii="??_GB2312" w:eastAsia="Times New Roman"/>
          <w:sz w:val="24"/>
          <w:szCs w:val="24"/>
        </w:rPr>
      </w:pPr>
      <w:r>
        <w:rPr>
          <w:rFonts w:hint="eastAsia" w:ascii="??_GB2312" w:eastAsia="Times New Roman"/>
          <w:sz w:val="24"/>
          <w:szCs w:val="24"/>
        </w:rPr>
        <w:t>公司认真贯彻执行《劳动法》等国家相关法律法规，依法与所有员工签订劳动合同，并将涉及员工利益的薪酬、劳动安全、社会保险与福利、职业培训、员工体检等内容进行具体规定，有效维护了员工的合法权益。</w:t>
      </w:r>
    </w:p>
    <w:p>
      <w:pPr>
        <w:spacing w:line="360" w:lineRule="auto"/>
        <w:ind w:firstLine="480" w:firstLineChars="200"/>
        <w:rPr>
          <w:rFonts w:ascii="??_GB2312" w:eastAsia="Times New Roman"/>
          <w:sz w:val="24"/>
          <w:szCs w:val="24"/>
        </w:rPr>
      </w:pPr>
      <w:r>
        <w:rPr>
          <w:rFonts w:hint="eastAsia" w:ascii="??_GB2312" w:eastAsia="Times New Roman"/>
          <w:sz w:val="24"/>
          <w:szCs w:val="24"/>
        </w:rPr>
        <w:t>公司每年定期组织员工进行健康体检，确保每位员工的身心健康；公司工会定期开展员工年度慰问及困难员工家庭慰问工作；公司专门成立女职工委员会，维护女职工权益，定期举办女职工体检。</w:t>
      </w:r>
    </w:p>
    <w:p>
      <w:pPr>
        <w:spacing w:line="360" w:lineRule="auto"/>
        <w:ind w:firstLine="2400" w:firstLineChars="1000"/>
        <w:rPr>
          <w:rFonts w:ascii="??_GB2312" w:eastAsia="Times New Roman"/>
          <w:sz w:val="24"/>
          <w:szCs w:val="24"/>
        </w:rPr>
      </w:pPr>
      <w:r>
        <w:rPr>
          <w:rFonts w:hint="eastAsia" w:ascii="??_GB2312" w:eastAsia="Times New Roman"/>
          <w:sz w:val="24"/>
          <w:szCs w:val="24"/>
        </w:rPr>
        <w:t>公司每年都要组织的员工活动</w:t>
      </w:r>
    </w:p>
    <w:tbl>
      <w:tblPr>
        <w:tblStyle w:val="22"/>
        <w:tblW w:w="8290" w:type="dxa"/>
        <w:tblInd w:w="0" w:type="dxa"/>
        <w:tblLayout w:type="fixed"/>
        <w:tblCellMar>
          <w:top w:w="0" w:type="dxa"/>
          <w:left w:w="108" w:type="dxa"/>
          <w:bottom w:w="0" w:type="dxa"/>
          <w:right w:w="108" w:type="dxa"/>
        </w:tblCellMar>
      </w:tblPr>
      <w:tblGrid>
        <w:gridCol w:w="1125"/>
        <w:gridCol w:w="3555"/>
        <w:gridCol w:w="3610"/>
      </w:tblGrid>
      <w:tr>
        <w:tblPrEx>
          <w:tblCellMar>
            <w:top w:w="0" w:type="dxa"/>
            <w:left w:w="108" w:type="dxa"/>
            <w:bottom w:w="0" w:type="dxa"/>
            <w:right w:w="108" w:type="dxa"/>
          </w:tblCellMar>
        </w:tblPrEx>
        <w:trPr>
          <w:trHeight w:val="480" w:hRule="atLeast"/>
        </w:trPr>
        <w:tc>
          <w:tcPr>
            <w:tcW w:w="1125" w:type="dxa"/>
            <w:tcBorders>
              <w:top w:val="single" w:color="4BACC6" w:sz="8" w:space="0"/>
              <w:left w:val="single" w:color="4BACC6" w:sz="8" w:space="0"/>
              <w:bottom w:val="single" w:color="FFFFFF" w:sz="4" w:space="0"/>
              <w:right w:val="single" w:color="4BACC6" w:sz="8" w:space="0"/>
            </w:tcBorders>
            <w:shd w:val="clear" w:color="auto" w:fill="4BACC6"/>
            <w:noWrap w:val="0"/>
            <w:vAlign w:val="center"/>
          </w:tcPr>
          <w:p>
            <w:pPr>
              <w:spacing w:line="360" w:lineRule="auto"/>
              <w:jc w:val="center"/>
              <w:rPr>
                <w:rFonts w:ascii="??_GB2312" w:eastAsia="Times New Roman"/>
                <w:sz w:val="24"/>
                <w:szCs w:val="24"/>
              </w:rPr>
            </w:pPr>
            <w:r>
              <w:rPr>
                <w:rFonts w:hint="eastAsia" w:ascii="??_GB2312" w:eastAsia="Times New Roman"/>
                <w:sz w:val="24"/>
                <w:szCs w:val="24"/>
              </w:rPr>
              <w:t>序号</w:t>
            </w:r>
          </w:p>
        </w:tc>
        <w:tc>
          <w:tcPr>
            <w:tcW w:w="3555" w:type="dxa"/>
            <w:tcBorders>
              <w:top w:val="single" w:color="4BACC6" w:sz="8" w:space="0"/>
              <w:left w:val="single" w:color="4BACC6" w:sz="8" w:space="0"/>
              <w:bottom w:val="single" w:color="FFFFFF" w:sz="4" w:space="0"/>
              <w:right w:val="single" w:color="4BACC6" w:sz="8" w:space="0"/>
            </w:tcBorders>
            <w:shd w:val="clear" w:color="auto" w:fill="4BACC6"/>
            <w:noWrap w:val="0"/>
            <w:vAlign w:val="center"/>
          </w:tcPr>
          <w:p>
            <w:pPr>
              <w:spacing w:line="360" w:lineRule="auto"/>
              <w:ind w:firstLine="480" w:firstLineChars="200"/>
              <w:jc w:val="center"/>
              <w:rPr>
                <w:rFonts w:ascii="??_GB2312" w:eastAsia="Times New Roman"/>
                <w:sz w:val="24"/>
                <w:szCs w:val="24"/>
              </w:rPr>
            </w:pPr>
            <w:r>
              <w:rPr>
                <w:rFonts w:hint="eastAsia" w:ascii="??_GB2312" w:eastAsia="Times New Roman"/>
                <w:sz w:val="24"/>
                <w:szCs w:val="24"/>
              </w:rPr>
              <w:t>项目</w:t>
            </w:r>
          </w:p>
        </w:tc>
        <w:tc>
          <w:tcPr>
            <w:tcW w:w="3610" w:type="dxa"/>
            <w:tcBorders>
              <w:top w:val="single" w:color="4BACC6" w:sz="8" w:space="0"/>
              <w:left w:val="single" w:color="4BACC6" w:sz="8" w:space="0"/>
              <w:bottom w:val="single" w:color="FFFFFF" w:sz="4" w:space="0"/>
              <w:right w:val="single" w:color="4BACC6" w:sz="8" w:space="0"/>
            </w:tcBorders>
            <w:shd w:val="clear" w:color="auto" w:fill="4BACC6"/>
            <w:noWrap w:val="0"/>
            <w:vAlign w:val="center"/>
          </w:tcPr>
          <w:p>
            <w:pPr>
              <w:spacing w:line="360" w:lineRule="auto"/>
              <w:ind w:firstLine="480" w:firstLineChars="200"/>
              <w:jc w:val="center"/>
              <w:rPr>
                <w:rFonts w:ascii="??_GB2312" w:eastAsia="Times New Roman"/>
                <w:sz w:val="24"/>
                <w:szCs w:val="24"/>
              </w:rPr>
            </w:pPr>
            <w:r>
              <w:rPr>
                <w:rFonts w:hint="eastAsia" w:ascii="??_GB2312" w:eastAsia="Times New Roman"/>
                <w:sz w:val="24"/>
                <w:szCs w:val="24"/>
              </w:rPr>
              <w:t>时间</w:t>
            </w:r>
          </w:p>
        </w:tc>
      </w:tr>
      <w:tr>
        <w:tblPrEx>
          <w:tblCellMar>
            <w:top w:w="0" w:type="dxa"/>
            <w:left w:w="108" w:type="dxa"/>
            <w:bottom w:w="0" w:type="dxa"/>
            <w:right w:w="108" w:type="dxa"/>
          </w:tblCellMar>
        </w:tblPrEx>
        <w:trPr>
          <w:trHeight w:val="480" w:hRule="atLeast"/>
        </w:trPr>
        <w:tc>
          <w:tcPr>
            <w:tcW w:w="1125" w:type="dxa"/>
            <w:tcBorders>
              <w:top w:val="single" w:color="FFFFFF" w:sz="6" w:space="0"/>
              <w:left w:val="single" w:color="4BACC6" w:sz="8" w:space="0"/>
              <w:bottom w:val="single" w:color="4BACC6" w:sz="8" w:space="0"/>
              <w:right w:val="single" w:color="4BACC6" w:sz="8" w:space="0"/>
            </w:tcBorders>
            <w:shd w:val="clear" w:color="auto" w:fill="B7DDE8"/>
            <w:noWrap w:val="0"/>
            <w:vAlign w:val="center"/>
          </w:tcPr>
          <w:p>
            <w:pPr>
              <w:spacing w:line="360" w:lineRule="auto"/>
              <w:ind w:firstLine="480" w:firstLineChars="200"/>
              <w:rPr>
                <w:rFonts w:ascii="??_GB2312" w:eastAsia="Times New Roman"/>
                <w:sz w:val="24"/>
                <w:szCs w:val="24"/>
              </w:rPr>
            </w:pPr>
            <w:r>
              <w:rPr>
                <w:rFonts w:ascii="??_GB2312" w:eastAsia="Times New Roman"/>
                <w:sz w:val="24"/>
                <w:szCs w:val="24"/>
              </w:rPr>
              <w:t>1</w:t>
            </w:r>
          </w:p>
        </w:tc>
        <w:tc>
          <w:tcPr>
            <w:tcW w:w="3555" w:type="dxa"/>
            <w:tcBorders>
              <w:top w:val="single" w:color="FFFFFF" w:sz="6" w:space="0"/>
              <w:left w:val="single" w:color="4BACC6" w:sz="8" w:space="0"/>
              <w:bottom w:val="single" w:color="4BACC6" w:sz="8" w:space="0"/>
              <w:right w:val="single" w:color="4BACC6" w:sz="8" w:space="0"/>
            </w:tcBorders>
            <w:shd w:val="clear" w:color="auto" w:fill="B7DDE8"/>
            <w:noWrap w:val="0"/>
            <w:vAlign w:val="center"/>
          </w:tcPr>
          <w:p>
            <w:pPr>
              <w:spacing w:line="360" w:lineRule="auto"/>
              <w:ind w:firstLine="480" w:firstLineChars="200"/>
              <w:rPr>
                <w:rFonts w:ascii="??_GB2312" w:eastAsia="Times New Roman"/>
                <w:sz w:val="24"/>
                <w:szCs w:val="24"/>
              </w:rPr>
            </w:pPr>
            <w:r>
              <w:rPr>
                <w:rFonts w:hint="eastAsia" w:ascii="??_GB2312" w:eastAsia="Times New Roman"/>
                <w:sz w:val="24"/>
                <w:szCs w:val="24"/>
              </w:rPr>
              <w:t>年度公司员工新年晚会</w:t>
            </w:r>
          </w:p>
        </w:tc>
        <w:tc>
          <w:tcPr>
            <w:tcW w:w="3610" w:type="dxa"/>
            <w:tcBorders>
              <w:top w:val="single" w:color="FFFFFF" w:sz="6" w:space="0"/>
              <w:left w:val="single" w:color="4BACC6" w:sz="8" w:space="0"/>
              <w:bottom w:val="single" w:color="4BACC6" w:sz="8" w:space="0"/>
              <w:right w:val="single" w:color="4BACC6" w:sz="8" w:space="0"/>
            </w:tcBorders>
            <w:shd w:val="clear" w:color="auto" w:fill="B7DDE8"/>
            <w:noWrap w:val="0"/>
            <w:vAlign w:val="center"/>
          </w:tcPr>
          <w:p>
            <w:pPr>
              <w:spacing w:line="360" w:lineRule="auto"/>
              <w:ind w:firstLine="480" w:firstLineChars="200"/>
              <w:rPr>
                <w:rFonts w:ascii="??_GB2312" w:eastAsia="Times New Roman"/>
                <w:sz w:val="24"/>
                <w:szCs w:val="24"/>
              </w:rPr>
            </w:pPr>
            <w:r>
              <w:rPr>
                <w:rFonts w:hint="eastAsia" w:ascii="??_GB2312" w:eastAsia="Times New Roman"/>
                <w:sz w:val="24"/>
                <w:szCs w:val="24"/>
              </w:rPr>
              <w:t>农历新年假期之前</w:t>
            </w:r>
          </w:p>
        </w:tc>
      </w:tr>
      <w:tr>
        <w:tblPrEx>
          <w:tblCellMar>
            <w:top w:w="0" w:type="dxa"/>
            <w:left w:w="108" w:type="dxa"/>
            <w:bottom w:w="0" w:type="dxa"/>
            <w:right w:w="108" w:type="dxa"/>
          </w:tblCellMar>
        </w:tblPrEx>
        <w:trPr>
          <w:trHeight w:val="480" w:hRule="atLeast"/>
        </w:trPr>
        <w:tc>
          <w:tcPr>
            <w:tcW w:w="1125" w:type="dxa"/>
            <w:tcBorders>
              <w:top w:val="single" w:color="4BACC6" w:sz="8" w:space="0"/>
              <w:left w:val="single" w:color="4BACC6" w:sz="8" w:space="0"/>
              <w:bottom w:val="single" w:color="4BACC6" w:sz="8" w:space="0"/>
              <w:right w:val="single" w:color="4BACC6" w:sz="8" w:space="0"/>
            </w:tcBorders>
            <w:shd w:val="clear" w:color="auto" w:fill="92CDDC"/>
            <w:noWrap w:val="0"/>
            <w:vAlign w:val="center"/>
          </w:tcPr>
          <w:p>
            <w:pPr>
              <w:spacing w:line="360" w:lineRule="auto"/>
              <w:ind w:firstLine="480" w:firstLineChars="200"/>
              <w:rPr>
                <w:rFonts w:ascii="??_GB2312" w:eastAsia="Times New Roman"/>
                <w:sz w:val="24"/>
                <w:szCs w:val="24"/>
              </w:rPr>
            </w:pPr>
            <w:r>
              <w:rPr>
                <w:rFonts w:ascii="??_GB2312" w:eastAsia="Times New Roman"/>
                <w:sz w:val="24"/>
                <w:szCs w:val="24"/>
              </w:rPr>
              <w:t>2</w:t>
            </w:r>
          </w:p>
        </w:tc>
        <w:tc>
          <w:tcPr>
            <w:tcW w:w="3555" w:type="dxa"/>
            <w:tcBorders>
              <w:top w:val="single" w:color="4BACC6" w:sz="8" w:space="0"/>
              <w:left w:val="single" w:color="4BACC6" w:sz="8" w:space="0"/>
              <w:bottom w:val="single" w:color="4BACC6" w:sz="8" w:space="0"/>
              <w:right w:val="single" w:color="4BACC6" w:sz="8" w:space="0"/>
            </w:tcBorders>
            <w:shd w:val="clear" w:color="auto" w:fill="92CDDC"/>
            <w:noWrap w:val="0"/>
            <w:vAlign w:val="center"/>
          </w:tcPr>
          <w:p>
            <w:pPr>
              <w:spacing w:line="360" w:lineRule="auto"/>
              <w:ind w:firstLine="480" w:firstLineChars="200"/>
              <w:rPr>
                <w:rFonts w:ascii="??_GB2312" w:eastAsia="Times New Roman"/>
                <w:sz w:val="24"/>
                <w:szCs w:val="24"/>
              </w:rPr>
            </w:pPr>
            <w:r>
              <w:rPr>
                <w:rFonts w:hint="eastAsia" w:ascii="??_GB2312" w:eastAsia="Times New Roman"/>
                <w:sz w:val="24"/>
                <w:szCs w:val="24"/>
              </w:rPr>
              <w:t>新年福利发放</w:t>
            </w:r>
          </w:p>
        </w:tc>
        <w:tc>
          <w:tcPr>
            <w:tcW w:w="3610" w:type="dxa"/>
            <w:tcBorders>
              <w:top w:val="single" w:color="4BACC6" w:sz="8" w:space="0"/>
              <w:left w:val="single" w:color="4BACC6" w:sz="8" w:space="0"/>
              <w:bottom w:val="single" w:color="4BACC6" w:sz="8" w:space="0"/>
              <w:right w:val="single" w:color="4BACC6" w:sz="8" w:space="0"/>
            </w:tcBorders>
            <w:shd w:val="clear" w:color="auto" w:fill="92CDDC"/>
            <w:noWrap w:val="0"/>
            <w:vAlign w:val="center"/>
          </w:tcPr>
          <w:p>
            <w:pPr>
              <w:spacing w:line="360" w:lineRule="auto"/>
              <w:ind w:firstLine="480" w:firstLineChars="200"/>
              <w:rPr>
                <w:rFonts w:ascii="??_GB2312" w:eastAsia="Times New Roman"/>
                <w:sz w:val="24"/>
                <w:szCs w:val="24"/>
              </w:rPr>
            </w:pPr>
            <w:r>
              <w:rPr>
                <w:rFonts w:hint="eastAsia" w:ascii="??_GB2312" w:eastAsia="Times New Roman"/>
                <w:sz w:val="24"/>
                <w:szCs w:val="24"/>
              </w:rPr>
              <w:t>农历新年假期之前</w:t>
            </w:r>
          </w:p>
        </w:tc>
      </w:tr>
      <w:tr>
        <w:tblPrEx>
          <w:tblCellMar>
            <w:top w:w="0" w:type="dxa"/>
            <w:left w:w="108" w:type="dxa"/>
            <w:bottom w:w="0" w:type="dxa"/>
            <w:right w:w="108" w:type="dxa"/>
          </w:tblCellMar>
        </w:tblPrEx>
        <w:trPr>
          <w:trHeight w:val="480" w:hRule="atLeast"/>
        </w:trPr>
        <w:tc>
          <w:tcPr>
            <w:tcW w:w="1125" w:type="dxa"/>
            <w:tcBorders>
              <w:top w:val="single" w:color="4BACC6" w:sz="8" w:space="0"/>
              <w:left w:val="single" w:color="4BACC6" w:sz="8" w:space="0"/>
              <w:bottom w:val="single" w:color="4BACC6" w:sz="8" w:space="0"/>
              <w:right w:val="single" w:color="4BACC6" w:sz="8" w:space="0"/>
            </w:tcBorders>
            <w:shd w:val="clear" w:color="auto" w:fill="B7DDE8"/>
            <w:noWrap w:val="0"/>
            <w:vAlign w:val="center"/>
          </w:tcPr>
          <w:p>
            <w:pPr>
              <w:spacing w:line="360" w:lineRule="auto"/>
              <w:ind w:firstLine="480" w:firstLineChars="200"/>
              <w:rPr>
                <w:rFonts w:ascii="??_GB2312" w:eastAsia="Times New Roman"/>
                <w:sz w:val="24"/>
                <w:szCs w:val="24"/>
              </w:rPr>
            </w:pPr>
            <w:r>
              <w:rPr>
                <w:rFonts w:ascii="??_GB2312" w:eastAsia="Times New Roman"/>
                <w:sz w:val="24"/>
                <w:szCs w:val="24"/>
              </w:rPr>
              <w:t>3</w:t>
            </w:r>
          </w:p>
        </w:tc>
        <w:tc>
          <w:tcPr>
            <w:tcW w:w="3555" w:type="dxa"/>
            <w:tcBorders>
              <w:top w:val="single" w:color="4BACC6" w:sz="8" w:space="0"/>
              <w:left w:val="single" w:color="4BACC6" w:sz="8" w:space="0"/>
              <w:bottom w:val="single" w:color="4BACC6" w:sz="8" w:space="0"/>
              <w:right w:val="single" w:color="4BACC6" w:sz="8" w:space="0"/>
            </w:tcBorders>
            <w:shd w:val="clear" w:color="auto" w:fill="B7DDE8"/>
            <w:noWrap w:val="0"/>
            <w:vAlign w:val="center"/>
          </w:tcPr>
          <w:p>
            <w:pPr>
              <w:spacing w:line="360" w:lineRule="auto"/>
              <w:ind w:firstLine="480" w:firstLineChars="200"/>
              <w:rPr>
                <w:rFonts w:ascii="??_GB2312" w:eastAsia="Times New Roman"/>
                <w:sz w:val="24"/>
                <w:szCs w:val="24"/>
              </w:rPr>
            </w:pPr>
            <w:r>
              <w:rPr>
                <w:rFonts w:hint="eastAsia" w:ascii="??_GB2312" w:eastAsia="Times New Roman"/>
                <w:sz w:val="24"/>
                <w:szCs w:val="24"/>
              </w:rPr>
              <w:t>新年红包发放</w:t>
            </w:r>
          </w:p>
        </w:tc>
        <w:tc>
          <w:tcPr>
            <w:tcW w:w="3610" w:type="dxa"/>
            <w:tcBorders>
              <w:top w:val="single" w:color="4BACC6" w:sz="8" w:space="0"/>
              <w:left w:val="single" w:color="4BACC6" w:sz="8" w:space="0"/>
              <w:bottom w:val="single" w:color="4BACC6" w:sz="8" w:space="0"/>
              <w:right w:val="single" w:color="4BACC6" w:sz="8" w:space="0"/>
            </w:tcBorders>
            <w:shd w:val="clear" w:color="auto" w:fill="B7DDE8"/>
            <w:noWrap w:val="0"/>
            <w:vAlign w:val="center"/>
          </w:tcPr>
          <w:p>
            <w:pPr>
              <w:spacing w:line="360" w:lineRule="auto"/>
              <w:ind w:firstLine="480" w:firstLineChars="200"/>
              <w:rPr>
                <w:rFonts w:ascii="??_GB2312" w:eastAsia="Times New Roman"/>
                <w:sz w:val="24"/>
                <w:szCs w:val="24"/>
              </w:rPr>
            </w:pPr>
            <w:r>
              <w:rPr>
                <w:rFonts w:hint="eastAsia" w:ascii="??_GB2312" w:eastAsia="Times New Roman"/>
                <w:sz w:val="24"/>
                <w:szCs w:val="24"/>
              </w:rPr>
              <w:t>农历新年假期之前</w:t>
            </w:r>
          </w:p>
        </w:tc>
      </w:tr>
      <w:tr>
        <w:tblPrEx>
          <w:tblCellMar>
            <w:top w:w="0" w:type="dxa"/>
            <w:left w:w="108" w:type="dxa"/>
            <w:bottom w:w="0" w:type="dxa"/>
            <w:right w:w="108" w:type="dxa"/>
          </w:tblCellMar>
        </w:tblPrEx>
        <w:trPr>
          <w:trHeight w:val="480" w:hRule="atLeast"/>
        </w:trPr>
        <w:tc>
          <w:tcPr>
            <w:tcW w:w="1125" w:type="dxa"/>
            <w:tcBorders>
              <w:top w:val="single" w:color="4BACC6" w:sz="8" w:space="0"/>
              <w:left w:val="single" w:color="4BACC6" w:sz="8" w:space="0"/>
              <w:bottom w:val="single" w:color="4BACC6" w:sz="8" w:space="0"/>
              <w:right w:val="single" w:color="4BACC6" w:sz="8" w:space="0"/>
            </w:tcBorders>
            <w:shd w:val="clear" w:color="auto" w:fill="92CDDC"/>
            <w:noWrap w:val="0"/>
            <w:vAlign w:val="center"/>
          </w:tcPr>
          <w:p>
            <w:pPr>
              <w:spacing w:line="360" w:lineRule="auto"/>
              <w:ind w:firstLine="480" w:firstLineChars="200"/>
              <w:rPr>
                <w:rFonts w:ascii="??_GB2312" w:eastAsia="Times New Roman"/>
                <w:sz w:val="24"/>
                <w:szCs w:val="24"/>
              </w:rPr>
            </w:pPr>
            <w:r>
              <w:rPr>
                <w:rFonts w:ascii="??_GB2312" w:eastAsia="Times New Roman"/>
                <w:sz w:val="24"/>
                <w:szCs w:val="24"/>
              </w:rPr>
              <w:t>4</w:t>
            </w:r>
          </w:p>
        </w:tc>
        <w:tc>
          <w:tcPr>
            <w:tcW w:w="3555" w:type="dxa"/>
            <w:tcBorders>
              <w:top w:val="single" w:color="4BACC6" w:sz="8" w:space="0"/>
              <w:left w:val="single" w:color="4BACC6" w:sz="8" w:space="0"/>
              <w:bottom w:val="single" w:color="4BACC6" w:sz="8" w:space="0"/>
              <w:right w:val="single" w:color="4BACC6" w:sz="8" w:space="0"/>
            </w:tcBorders>
            <w:shd w:val="clear" w:color="auto" w:fill="92CDDC"/>
            <w:noWrap w:val="0"/>
            <w:vAlign w:val="center"/>
          </w:tcPr>
          <w:p>
            <w:pPr>
              <w:spacing w:line="360" w:lineRule="auto"/>
              <w:ind w:firstLine="480" w:firstLineChars="200"/>
              <w:rPr>
                <w:rFonts w:ascii="??_GB2312" w:eastAsia="Times New Roman"/>
                <w:sz w:val="24"/>
                <w:szCs w:val="24"/>
              </w:rPr>
            </w:pPr>
            <w:r>
              <w:rPr>
                <w:rFonts w:hint="eastAsia" w:ascii="??_GB2312" w:eastAsia="Times New Roman"/>
                <w:sz w:val="24"/>
                <w:szCs w:val="24"/>
              </w:rPr>
              <w:t>开工红包</w:t>
            </w:r>
          </w:p>
        </w:tc>
        <w:tc>
          <w:tcPr>
            <w:tcW w:w="3610" w:type="dxa"/>
            <w:tcBorders>
              <w:top w:val="single" w:color="4BACC6" w:sz="8" w:space="0"/>
              <w:left w:val="single" w:color="4BACC6" w:sz="8" w:space="0"/>
              <w:bottom w:val="single" w:color="4BACC6" w:sz="8" w:space="0"/>
              <w:right w:val="single" w:color="4BACC6" w:sz="8" w:space="0"/>
            </w:tcBorders>
            <w:shd w:val="clear" w:color="auto" w:fill="92CDDC"/>
            <w:noWrap w:val="0"/>
            <w:vAlign w:val="center"/>
          </w:tcPr>
          <w:p>
            <w:pPr>
              <w:spacing w:line="360" w:lineRule="auto"/>
              <w:ind w:firstLine="480" w:firstLineChars="200"/>
              <w:rPr>
                <w:rFonts w:ascii="??_GB2312" w:eastAsia="Times New Roman"/>
                <w:sz w:val="24"/>
                <w:szCs w:val="24"/>
              </w:rPr>
            </w:pPr>
            <w:r>
              <w:rPr>
                <w:rFonts w:hint="eastAsia" w:ascii="??_GB2312" w:eastAsia="Times New Roman"/>
                <w:sz w:val="24"/>
                <w:szCs w:val="24"/>
              </w:rPr>
              <w:t>新年开工之时</w:t>
            </w:r>
          </w:p>
        </w:tc>
      </w:tr>
      <w:tr>
        <w:tblPrEx>
          <w:tblCellMar>
            <w:top w:w="0" w:type="dxa"/>
            <w:left w:w="108" w:type="dxa"/>
            <w:bottom w:w="0" w:type="dxa"/>
            <w:right w:w="108" w:type="dxa"/>
          </w:tblCellMar>
        </w:tblPrEx>
        <w:trPr>
          <w:trHeight w:val="480" w:hRule="atLeast"/>
        </w:trPr>
        <w:tc>
          <w:tcPr>
            <w:tcW w:w="1125" w:type="dxa"/>
            <w:tcBorders>
              <w:top w:val="single" w:color="4BACC6" w:sz="8" w:space="0"/>
              <w:left w:val="single" w:color="4BACC6" w:sz="8" w:space="0"/>
              <w:bottom w:val="single" w:color="4BACC6" w:sz="8" w:space="0"/>
              <w:right w:val="single" w:color="4BACC6" w:sz="8" w:space="0"/>
            </w:tcBorders>
            <w:shd w:val="clear" w:color="auto" w:fill="B7DDE8"/>
            <w:noWrap w:val="0"/>
            <w:vAlign w:val="center"/>
          </w:tcPr>
          <w:p>
            <w:pPr>
              <w:spacing w:line="360" w:lineRule="auto"/>
              <w:ind w:firstLine="480" w:firstLineChars="200"/>
              <w:rPr>
                <w:rFonts w:ascii="??_GB2312" w:eastAsia="Times New Roman"/>
                <w:sz w:val="24"/>
                <w:szCs w:val="24"/>
              </w:rPr>
            </w:pPr>
            <w:r>
              <w:rPr>
                <w:rFonts w:ascii="??_GB2312" w:eastAsia="Times New Roman"/>
                <w:sz w:val="24"/>
                <w:szCs w:val="24"/>
              </w:rPr>
              <w:t>5</w:t>
            </w:r>
          </w:p>
        </w:tc>
        <w:tc>
          <w:tcPr>
            <w:tcW w:w="3555" w:type="dxa"/>
            <w:tcBorders>
              <w:top w:val="single" w:color="4BACC6" w:sz="8" w:space="0"/>
              <w:left w:val="single" w:color="4BACC6" w:sz="8" w:space="0"/>
              <w:bottom w:val="single" w:color="4BACC6" w:sz="8" w:space="0"/>
              <w:right w:val="single" w:color="4BACC6" w:sz="8" w:space="0"/>
            </w:tcBorders>
            <w:shd w:val="clear" w:color="auto" w:fill="B7DDE8"/>
            <w:noWrap w:val="0"/>
            <w:vAlign w:val="center"/>
          </w:tcPr>
          <w:p>
            <w:pPr>
              <w:spacing w:line="360" w:lineRule="auto"/>
              <w:ind w:firstLine="480" w:firstLineChars="200"/>
              <w:rPr>
                <w:rFonts w:ascii="??_GB2312" w:eastAsia="Times New Roman"/>
                <w:sz w:val="24"/>
                <w:szCs w:val="24"/>
              </w:rPr>
            </w:pPr>
            <w:r>
              <w:rPr>
                <w:rFonts w:hint="eastAsia" w:ascii="??_GB2312" w:eastAsia="Times New Roman"/>
                <w:sz w:val="24"/>
                <w:szCs w:val="24"/>
              </w:rPr>
              <w:t>外地员工车费报销</w:t>
            </w:r>
          </w:p>
        </w:tc>
        <w:tc>
          <w:tcPr>
            <w:tcW w:w="3610" w:type="dxa"/>
            <w:tcBorders>
              <w:top w:val="single" w:color="4BACC6" w:sz="8" w:space="0"/>
              <w:left w:val="single" w:color="4BACC6" w:sz="8" w:space="0"/>
              <w:bottom w:val="single" w:color="4BACC6" w:sz="8" w:space="0"/>
              <w:right w:val="single" w:color="4BACC6" w:sz="8" w:space="0"/>
            </w:tcBorders>
            <w:shd w:val="clear" w:color="auto" w:fill="B7DDE8"/>
            <w:noWrap w:val="0"/>
            <w:vAlign w:val="center"/>
          </w:tcPr>
          <w:p>
            <w:pPr>
              <w:spacing w:line="360" w:lineRule="auto"/>
              <w:ind w:firstLine="480" w:firstLineChars="200"/>
              <w:rPr>
                <w:rFonts w:ascii="??_GB2312" w:eastAsia="Times New Roman"/>
                <w:sz w:val="24"/>
                <w:szCs w:val="24"/>
              </w:rPr>
            </w:pPr>
            <w:r>
              <w:rPr>
                <w:rFonts w:hint="eastAsia" w:ascii="??_GB2312" w:eastAsia="Times New Roman"/>
                <w:sz w:val="24"/>
                <w:szCs w:val="24"/>
              </w:rPr>
              <w:t>新年开工后</w:t>
            </w:r>
          </w:p>
        </w:tc>
      </w:tr>
      <w:tr>
        <w:tblPrEx>
          <w:tblCellMar>
            <w:top w:w="0" w:type="dxa"/>
            <w:left w:w="108" w:type="dxa"/>
            <w:bottom w:w="0" w:type="dxa"/>
            <w:right w:w="108" w:type="dxa"/>
          </w:tblCellMar>
        </w:tblPrEx>
        <w:trPr>
          <w:trHeight w:val="480" w:hRule="atLeast"/>
        </w:trPr>
        <w:tc>
          <w:tcPr>
            <w:tcW w:w="1125" w:type="dxa"/>
            <w:tcBorders>
              <w:top w:val="single" w:color="4BACC6" w:sz="8" w:space="0"/>
              <w:left w:val="single" w:color="4BACC6" w:sz="8" w:space="0"/>
              <w:bottom w:val="single" w:color="4BACC6" w:sz="8" w:space="0"/>
              <w:right w:val="single" w:color="4BACC6" w:sz="8" w:space="0"/>
            </w:tcBorders>
            <w:shd w:val="clear" w:color="auto" w:fill="B7DDE8"/>
            <w:noWrap w:val="0"/>
            <w:vAlign w:val="center"/>
          </w:tcPr>
          <w:p>
            <w:pPr>
              <w:spacing w:line="360" w:lineRule="auto"/>
              <w:ind w:firstLine="480" w:firstLineChars="200"/>
              <w:rPr>
                <w:rFonts w:ascii="??_GB2312" w:eastAsia="Times New Roman"/>
                <w:sz w:val="24"/>
                <w:szCs w:val="24"/>
              </w:rPr>
            </w:pPr>
            <w:r>
              <w:rPr>
                <w:rFonts w:ascii="??_GB2312" w:eastAsia="Times New Roman"/>
                <w:sz w:val="24"/>
                <w:szCs w:val="24"/>
              </w:rPr>
              <w:t>7</w:t>
            </w:r>
          </w:p>
        </w:tc>
        <w:tc>
          <w:tcPr>
            <w:tcW w:w="3555" w:type="dxa"/>
            <w:tcBorders>
              <w:top w:val="single" w:color="4BACC6" w:sz="8" w:space="0"/>
              <w:left w:val="single" w:color="4BACC6" w:sz="8" w:space="0"/>
              <w:bottom w:val="single" w:color="4BACC6" w:sz="8" w:space="0"/>
              <w:right w:val="single" w:color="4BACC6" w:sz="8" w:space="0"/>
            </w:tcBorders>
            <w:shd w:val="clear" w:color="auto" w:fill="B7DDE8"/>
            <w:noWrap w:val="0"/>
            <w:vAlign w:val="center"/>
          </w:tcPr>
          <w:p>
            <w:pPr>
              <w:spacing w:line="360" w:lineRule="auto"/>
              <w:ind w:firstLine="480" w:firstLineChars="200"/>
              <w:rPr>
                <w:rFonts w:ascii="??_GB2312" w:eastAsia="Times New Roman"/>
                <w:sz w:val="24"/>
                <w:szCs w:val="24"/>
              </w:rPr>
            </w:pPr>
            <w:r>
              <w:rPr>
                <w:rFonts w:hint="eastAsia" w:ascii="??_GB2312" w:eastAsia="Times New Roman"/>
                <w:sz w:val="24"/>
                <w:szCs w:val="24"/>
              </w:rPr>
              <w:t>员工体检</w:t>
            </w:r>
          </w:p>
        </w:tc>
        <w:tc>
          <w:tcPr>
            <w:tcW w:w="3610" w:type="dxa"/>
            <w:tcBorders>
              <w:top w:val="single" w:color="4BACC6" w:sz="8" w:space="0"/>
              <w:left w:val="single" w:color="4BACC6" w:sz="8" w:space="0"/>
              <w:bottom w:val="single" w:color="4BACC6" w:sz="8" w:space="0"/>
              <w:right w:val="single" w:color="4BACC6" w:sz="8" w:space="0"/>
            </w:tcBorders>
            <w:shd w:val="clear" w:color="auto" w:fill="B7DDE8"/>
            <w:noWrap w:val="0"/>
            <w:vAlign w:val="center"/>
          </w:tcPr>
          <w:p>
            <w:pPr>
              <w:spacing w:line="360" w:lineRule="auto"/>
              <w:ind w:firstLine="480" w:firstLineChars="200"/>
              <w:rPr>
                <w:rFonts w:ascii="??_GB2312" w:eastAsia="Times New Roman"/>
                <w:sz w:val="24"/>
                <w:szCs w:val="24"/>
              </w:rPr>
            </w:pPr>
            <w:r>
              <w:rPr>
                <w:rFonts w:hint="eastAsia" w:ascii="??_GB2312" w:eastAsia="Times New Roman"/>
                <w:sz w:val="24"/>
                <w:szCs w:val="24"/>
              </w:rPr>
              <w:t>每年</w:t>
            </w:r>
            <w:r>
              <w:rPr>
                <w:rFonts w:ascii="??_GB2312" w:eastAsia="Times New Roman"/>
                <w:sz w:val="24"/>
                <w:szCs w:val="24"/>
              </w:rPr>
              <w:t>9-10</w:t>
            </w:r>
            <w:r>
              <w:rPr>
                <w:rFonts w:hint="eastAsia" w:ascii="??_GB2312" w:eastAsia="Times New Roman"/>
                <w:sz w:val="24"/>
                <w:szCs w:val="24"/>
              </w:rPr>
              <w:t>月</w:t>
            </w:r>
          </w:p>
        </w:tc>
      </w:tr>
      <w:tr>
        <w:tblPrEx>
          <w:tblCellMar>
            <w:top w:w="0" w:type="dxa"/>
            <w:left w:w="108" w:type="dxa"/>
            <w:bottom w:w="0" w:type="dxa"/>
            <w:right w:w="108" w:type="dxa"/>
          </w:tblCellMar>
        </w:tblPrEx>
        <w:trPr>
          <w:trHeight w:val="480" w:hRule="atLeast"/>
        </w:trPr>
        <w:tc>
          <w:tcPr>
            <w:tcW w:w="1125" w:type="dxa"/>
            <w:tcBorders>
              <w:top w:val="single" w:color="4BACC6" w:sz="8" w:space="0"/>
              <w:left w:val="single" w:color="4BACC6" w:sz="8" w:space="0"/>
              <w:bottom w:val="single" w:color="4BACC6" w:sz="8" w:space="0"/>
              <w:right w:val="single" w:color="4BACC6" w:sz="8" w:space="0"/>
            </w:tcBorders>
            <w:shd w:val="clear" w:color="auto" w:fill="B7DDE8"/>
            <w:noWrap w:val="0"/>
            <w:vAlign w:val="center"/>
          </w:tcPr>
          <w:p>
            <w:pPr>
              <w:spacing w:line="360" w:lineRule="auto"/>
              <w:ind w:firstLine="480" w:firstLineChars="200"/>
              <w:rPr>
                <w:rFonts w:ascii="??_GB2312" w:eastAsia="Times New Roman"/>
                <w:sz w:val="24"/>
                <w:szCs w:val="24"/>
              </w:rPr>
            </w:pPr>
            <w:r>
              <w:rPr>
                <w:rFonts w:ascii="??_GB2312" w:eastAsia="Times New Roman"/>
                <w:sz w:val="24"/>
                <w:szCs w:val="24"/>
              </w:rPr>
              <w:t>8</w:t>
            </w:r>
          </w:p>
        </w:tc>
        <w:tc>
          <w:tcPr>
            <w:tcW w:w="3555" w:type="dxa"/>
            <w:tcBorders>
              <w:top w:val="single" w:color="4BACC6" w:sz="8" w:space="0"/>
              <w:left w:val="single" w:color="4BACC6" w:sz="8" w:space="0"/>
              <w:bottom w:val="single" w:color="4BACC6" w:sz="8" w:space="0"/>
              <w:right w:val="single" w:color="4BACC6" w:sz="8" w:space="0"/>
            </w:tcBorders>
            <w:shd w:val="clear" w:color="auto" w:fill="B7DDE8"/>
            <w:noWrap w:val="0"/>
            <w:vAlign w:val="center"/>
          </w:tcPr>
          <w:p>
            <w:pPr>
              <w:spacing w:line="360" w:lineRule="auto"/>
              <w:ind w:firstLine="480" w:firstLineChars="200"/>
              <w:rPr>
                <w:rFonts w:ascii="??_GB2312" w:eastAsia="Times New Roman"/>
                <w:sz w:val="24"/>
                <w:szCs w:val="24"/>
              </w:rPr>
            </w:pPr>
            <w:r>
              <w:rPr>
                <w:rFonts w:hint="eastAsia" w:ascii="??_GB2312" w:eastAsia="Times New Roman"/>
                <w:sz w:val="24"/>
                <w:szCs w:val="24"/>
              </w:rPr>
              <w:t>中秋节福利发放</w:t>
            </w:r>
          </w:p>
        </w:tc>
        <w:tc>
          <w:tcPr>
            <w:tcW w:w="3610" w:type="dxa"/>
            <w:tcBorders>
              <w:top w:val="single" w:color="4BACC6" w:sz="8" w:space="0"/>
              <w:left w:val="single" w:color="4BACC6" w:sz="8" w:space="0"/>
              <w:bottom w:val="single" w:color="4BACC6" w:sz="8" w:space="0"/>
              <w:right w:val="single" w:color="4BACC6" w:sz="8" w:space="0"/>
            </w:tcBorders>
            <w:shd w:val="clear" w:color="auto" w:fill="B7DDE8"/>
            <w:noWrap w:val="0"/>
            <w:vAlign w:val="center"/>
          </w:tcPr>
          <w:p>
            <w:pPr>
              <w:spacing w:line="360" w:lineRule="auto"/>
              <w:ind w:firstLine="480" w:firstLineChars="200"/>
              <w:rPr>
                <w:rFonts w:ascii="??_GB2312" w:eastAsia="Times New Roman"/>
                <w:sz w:val="24"/>
                <w:szCs w:val="24"/>
              </w:rPr>
            </w:pPr>
            <w:r>
              <w:rPr>
                <w:rFonts w:hint="eastAsia" w:ascii="??_GB2312" w:eastAsia="Times New Roman"/>
                <w:sz w:val="24"/>
                <w:szCs w:val="24"/>
              </w:rPr>
              <w:t>每年中秋节</w:t>
            </w:r>
          </w:p>
        </w:tc>
      </w:tr>
    </w:tbl>
    <w:p>
      <w:pPr>
        <w:spacing w:line="360" w:lineRule="auto"/>
        <w:ind w:firstLine="480" w:firstLineChars="200"/>
        <w:rPr>
          <w:rFonts w:ascii="??_GB2312" w:eastAsia="Times New Roman"/>
          <w:sz w:val="24"/>
          <w:szCs w:val="24"/>
        </w:rPr>
      </w:pPr>
      <w:r>
        <w:rPr>
          <w:rFonts w:hint="eastAsia" w:ascii="??_GB2312" w:eastAsia="Times New Roman"/>
          <w:sz w:val="24"/>
          <w:szCs w:val="24"/>
        </w:rPr>
        <w:t>为确保对工作场所可能发生的紧急状态和危险情况，公司制定了应对各类突发事件的应急预案，如《火灾事故应急预案》、《突发事故应急预案》、《天然气泄漏应急预案》等涵盖了自然灾害、火灾的应急管理、人员伤害事故等各方面的应急管理。同时，公司加强对全体员工的安全教育培训，每年不定期进行应急预案演习，并作演习效果评估，对演习中存在的问题进行改进，不断提高公司的应急能力及员工处理各种紧急情况的能力。</w:t>
      </w:r>
    </w:p>
    <w:p>
      <w:pPr>
        <w:spacing w:line="360" w:lineRule="auto"/>
        <w:ind w:firstLine="480" w:firstLineChars="200"/>
      </w:pPr>
      <w:r>
        <w:rPr>
          <w:rFonts w:hint="eastAsia" w:ascii="??_GB2312" w:eastAsia="Times New Roman"/>
          <w:sz w:val="24"/>
          <w:szCs w:val="24"/>
        </w:rPr>
        <w:t>公司努力为员工创造和谐良好的工作氛围和环境。为此公司积极开展企业文化建设，，丰富员工工作和业余生活，构造和谐工作环境，激发员工爱心、积极性和创造性，提高了员工的满意和忠诚，促进公司和谐发展。</w:t>
      </w:r>
      <w:r>
        <w:rPr>
          <w:rFonts w:ascii="??_GB2312" w:eastAsia="Times New Roman"/>
          <w:sz w:val="24"/>
          <w:szCs w:val="24"/>
        </w:rPr>
        <w:t xml:space="preserve"> </w:t>
      </w:r>
    </w:p>
    <w:p>
      <w:pPr>
        <w:pStyle w:val="3"/>
        <w:rPr>
          <w:rFonts w:cs="Times New Roman"/>
          <w:b w:val="0"/>
          <w:bCs w:val="0"/>
          <w:sz w:val="30"/>
          <w:szCs w:val="30"/>
        </w:rPr>
      </w:pPr>
      <w:bookmarkStart w:id="16" w:name="_Toc19413"/>
      <w:r>
        <w:rPr>
          <w:rFonts w:hint="eastAsia" w:cs="黑体"/>
          <w:b w:val="0"/>
          <w:bCs w:val="0"/>
          <w:sz w:val="30"/>
          <w:szCs w:val="30"/>
        </w:rPr>
        <w:t>（</w:t>
      </w:r>
      <w:r>
        <w:rPr>
          <w:rFonts w:hint="eastAsia" w:cs="黑体"/>
          <w:b w:val="0"/>
          <w:bCs w:val="0"/>
          <w:sz w:val="30"/>
          <w:szCs w:val="30"/>
          <w:lang w:val="en-US" w:eastAsia="zh-CN"/>
        </w:rPr>
        <w:t>三</w:t>
      </w:r>
      <w:r>
        <w:rPr>
          <w:rFonts w:hint="eastAsia" w:cs="黑体"/>
          <w:b w:val="0"/>
          <w:bCs w:val="0"/>
          <w:sz w:val="30"/>
          <w:szCs w:val="30"/>
        </w:rPr>
        <w:t>）加强安全生产</w:t>
      </w:r>
      <w:bookmarkEnd w:id="16"/>
    </w:p>
    <w:p>
      <w:pPr>
        <w:spacing w:line="360" w:lineRule="auto"/>
        <w:ind w:firstLine="480" w:firstLineChars="200"/>
        <w:rPr>
          <w:rFonts w:ascii="??_GB2312" w:eastAsia="Times New Roman"/>
          <w:sz w:val="24"/>
          <w:szCs w:val="24"/>
        </w:rPr>
      </w:pPr>
      <w:r>
        <w:rPr>
          <w:rFonts w:ascii="??_GB2312" w:eastAsia="Times New Roman"/>
          <w:sz w:val="24"/>
          <w:szCs w:val="24"/>
        </w:rPr>
        <w:t>作为一家制造型企业，公司对安全生产保障工作有着深刻的认识，始终坚持“安全就是生产力”的理念，确保设备安全运行、生产安全运行、职工安全上下岗。</w:t>
      </w:r>
    </w:p>
    <w:p>
      <w:pPr>
        <w:spacing w:line="360" w:lineRule="auto"/>
        <w:ind w:firstLine="480" w:firstLineChars="200"/>
        <w:rPr>
          <w:rFonts w:ascii="??_GB2312" w:eastAsia="Times New Roman"/>
          <w:sz w:val="24"/>
          <w:szCs w:val="24"/>
        </w:rPr>
      </w:pPr>
      <w:r>
        <w:rPr>
          <w:rFonts w:ascii="??_GB2312" w:eastAsia="Times New Roman" w:cs="??_GB2312"/>
          <w:sz w:val="24"/>
          <w:szCs w:val="24"/>
        </w:rPr>
        <w:t>20</w:t>
      </w:r>
      <w:r>
        <w:rPr>
          <w:rFonts w:hint="eastAsia" w:ascii="??_GB2312" w:cs="??_GB2312"/>
          <w:sz w:val="24"/>
          <w:szCs w:val="24"/>
          <w:lang w:val="en-US" w:eastAsia="zh-CN"/>
        </w:rPr>
        <w:t>23</w:t>
      </w:r>
      <w:r>
        <w:rPr>
          <w:rFonts w:ascii="??_GB2312" w:eastAsia="Times New Roman"/>
          <w:sz w:val="24"/>
          <w:szCs w:val="24"/>
        </w:rPr>
        <w:t>年，公司继续坚持“安全第一，预防为主、综合管理”的工作原则，以落实安全生产责任制为核心，全面贯彻年初制定的安全生产目标管理方针，在政府有关职能部门的业务指导下，依靠各单位的积极参与和共同努力，全面开展对安全生产、消防安全、安全生产教育培训、特种作业监管、危险化学品监控、事故调查、安全检查、食品安全等安全生产管理工作。</w:t>
      </w:r>
    </w:p>
    <w:p>
      <w:pPr>
        <w:spacing w:line="360" w:lineRule="auto"/>
        <w:ind w:firstLine="480" w:firstLineChars="200"/>
        <w:rPr>
          <w:rFonts w:ascii="??_GB2312" w:eastAsia="Times New Roman"/>
          <w:sz w:val="24"/>
          <w:szCs w:val="24"/>
        </w:rPr>
      </w:pPr>
      <w:r>
        <w:rPr>
          <w:rFonts w:ascii="??_GB2312" w:eastAsia="Times New Roman"/>
          <w:sz w:val="24"/>
          <w:szCs w:val="24"/>
        </w:rPr>
        <w:t>创建安全生产（劳动保护）环境，公司严格执行《劳动法》、《安全生产法》和《职业病防治法》等相关法律法规，建立了</w:t>
      </w:r>
      <w:r>
        <w:rPr>
          <w:rFonts w:hint="eastAsia" w:ascii="??_GB2312" w:cs="??_GB2312"/>
          <w:sz w:val="24"/>
          <w:szCs w:val="24"/>
          <w:lang w:val="en-US" w:eastAsia="zh-CN"/>
        </w:rPr>
        <w:t>ISO45001</w:t>
      </w:r>
      <w:r>
        <w:rPr>
          <w:rFonts w:ascii="??_GB2312" w:eastAsia="Times New Roman"/>
          <w:sz w:val="24"/>
          <w:szCs w:val="24"/>
        </w:rPr>
        <w:t>和</w:t>
      </w:r>
      <w:r>
        <w:rPr>
          <w:rFonts w:ascii="??_GB2312" w:eastAsia="Times New Roman" w:cs="??_GB2312"/>
          <w:sz w:val="24"/>
          <w:szCs w:val="24"/>
        </w:rPr>
        <w:t>ISO14000</w:t>
      </w:r>
      <w:r>
        <w:rPr>
          <w:rFonts w:ascii="??_GB2312" w:eastAsia="Times New Roman"/>
          <w:sz w:val="24"/>
          <w:szCs w:val="24"/>
        </w:rPr>
        <w:t>管理体系，制定和完善了《安全生产管理责任书》、《机器设备防火承诺书》、《危险作业审批制度》、《消防管理规定》、《紧急疏散计划方案》、《工伤事故处理管理办法》、《安全生产管理办法》、《安全生产问题处理决定》等制度，不断改善员工工作环境。</w:t>
      </w:r>
    </w:p>
    <w:p>
      <w:pPr>
        <w:spacing w:line="360" w:lineRule="auto"/>
        <w:ind w:firstLine="480" w:firstLineChars="200"/>
        <w:rPr>
          <w:rFonts w:ascii="??_GB2312" w:eastAsia="Times New Roman"/>
          <w:sz w:val="24"/>
          <w:szCs w:val="24"/>
        </w:rPr>
      </w:pPr>
      <w:r>
        <w:rPr>
          <w:rFonts w:ascii="??_GB2312" w:eastAsia="Times New Roman"/>
          <w:sz w:val="24"/>
          <w:szCs w:val="24"/>
        </w:rPr>
        <w:t>组织开展对危险源、环境因素及关键场所的识别，明确测量方法和指标，采取一系列预防措施：改造、更新、完善设施，发放劳保用品，监督劳动保护，监测职业病危害因素和定期职业健康体检等。</w:t>
      </w:r>
    </w:p>
    <w:p>
      <w:pPr>
        <w:spacing w:line="360" w:lineRule="auto"/>
        <w:ind w:firstLine="480" w:firstLineChars="200"/>
        <w:rPr>
          <w:rFonts w:ascii="??_GB2312" w:eastAsia="Times New Roman"/>
          <w:sz w:val="24"/>
          <w:szCs w:val="24"/>
        </w:rPr>
      </w:pPr>
      <w:r>
        <w:rPr>
          <w:rFonts w:ascii="??_GB2312" w:eastAsia="Times New Roman"/>
          <w:sz w:val="24"/>
          <w:szCs w:val="24"/>
        </w:rPr>
        <w:t>（</w:t>
      </w:r>
      <w:r>
        <w:rPr>
          <w:rFonts w:ascii="??_GB2312" w:eastAsia="Times New Roman" w:cs="??_GB2312"/>
          <w:sz w:val="24"/>
          <w:szCs w:val="24"/>
        </w:rPr>
        <w:t>2</w:t>
      </w:r>
      <w:r>
        <w:rPr>
          <w:rFonts w:ascii="??_GB2312" w:eastAsia="Times New Roman"/>
          <w:sz w:val="24"/>
          <w:szCs w:val="24"/>
        </w:rPr>
        <w:t>）</w:t>
      </w:r>
      <w:r>
        <w:rPr>
          <w:rFonts w:ascii="??_GB2312" w:eastAsia="Times New Roman" w:cs="??_GB2312"/>
          <w:sz w:val="24"/>
          <w:szCs w:val="24"/>
        </w:rPr>
        <w:t xml:space="preserve"> </w:t>
      </w:r>
      <w:r>
        <w:rPr>
          <w:rFonts w:ascii="??_GB2312" w:eastAsia="Times New Roman"/>
          <w:sz w:val="24"/>
          <w:szCs w:val="24"/>
        </w:rPr>
        <w:t>落实安全生产责任制，制定应急预案</w:t>
      </w:r>
    </w:p>
    <w:p>
      <w:pPr>
        <w:spacing w:line="360" w:lineRule="auto"/>
        <w:ind w:firstLine="480" w:firstLineChars="200"/>
        <w:rPr>
          <w:rFonts w:ascii="??_GB2312" w:eastAsia="Times New Roman" w:cs="??_GB2312"/>
          <w:sz w:val="24"/>
          <w:szCs w:val="24"/>
        </w:rPr>
      </w:pPr>
      <w:r>
        <w:rPr>
          <w:rFonts w:ascii="??_GB2312" w:eastAsia="Times New Roman"/>
          <w:sz w:val="24"/>
          <w:szCs w:val="24"/>
        </w:rPr>
        <w:t>公司坚持“安全第一，预防为主、综合管理”方针，完善三级安全生产网络组织，逐级量化安全生产考核，全面提升安全生产技防水平，</w:t>
      </w:r>
      <w:bookmarkStart w:id="18" w:name="_GoBack"/>
      <w:bookmarkEnd w:id="18"/>
      <w:r>
        <w:rPr>
          <w:rFonts w:ascii="??_GB2312" w:eastAsia="Times New Roman"/>
          <w:sz w:val="24"/>
          <w:szCs w:val="24"/>
        </w:rPr>
        <w:t>新技术和新设备得到广泛应用，事故率明显降低，确保全年无死亡事故，职业病发病率为零。</w:t>
      </w:r>
      <w:r>
        <w:rPr>
          <w:rFonts w:ascii="??_GB2312" w:eastAsia="Times New Roman" w:cs="??_GB2312"/>
          <w:sz w:val="24"/>
          <w:szCs w:val="24"/>
        </w:rPr>
        <w:t xml:space="preserve"> </w:t>
      </w:r>
    </w:p>
    <w:p>
      <w:pPr>
        <w:spacing w:line="360" w:lineRule="auto"/>
        <w:ind w:firstLine="480" w:firstLineChars="200"/>
        <w:rPr>
          <w:rFonts w:ascii="??_GB2312" w:eastAsia="Times New Roman"/>
          <w:sz w:val="24"/>
          <w:szCs w:val="24"/>
        </w:rPr>
      </w:pPr>
      <w:r>
        <w:rPr>
          <w:rFonts w:ascii="??_GB2312" w:eastAsia="Times New Roman"/>
          <w:sz w:val="24"/>
          <w:szCs w:val="24"/>
        </w:rPr>
        <w:t>（</w:t>
      </w:r>
      <w:r>
        <w:rPr>
          <w:rFonts w:ascii="??_GB2312" w:eastAsia="Times New Roman" w:cs="??_GB2312"/>
          <w:sz w:val="24"/>
          <w:szCs w:val="24"/>
        </w:rPr>
        <w:t>3</w:t>
      </w:r>
      <w:r>
        <w:rPr>
          <w:rFonts w:ascii="??_GB2312" w:eastAsia="Times New Roman"/>
          <w:sz w:val="24"/>
          <w:szCs w:val="24"/>
        </w:rPr>
        <w:t>）积极推进生产现场安全建设</w:t>
      </w:r>
    </w:p>
    <w:p>
      <w:pPr>
        <w:spacing w:line="360" w:lineRule="auto"/>
        <w:ind w:firstLine="480" w:firstLineChars="200"/>
        <w:rPr>
          <w:rFonts w:ascii="??_GB2312" w:eastAsia="Times New Roman"/>
          <w:sz w:val="24"/>
          <w:szCs w:val="24"/>
        </w:rPr>
      </w:pPr>
      <w:r>
        <w:rPr>
          <w:rFonts w:ascii="??_GB2312" w:eastAsia="Times New Roman"/>
          <w:sz w:val="24"/>
          <w:szCs w:val="24"/>
        </w:rPr>
        <w:t>公司与各部门签订“安全生产责任书”，针对用电、治安、特种设备、特种作业人员、动火等危险作业人员和设备、安全管理组织机构配置专职安全监督管理人员、安全管理规章制度等方面，开展定期和不定期的生产现场检查，通过现场教育和下达责令限期整改、经济处罚等形式，做好生产安全工作，确保公司不发生重大事故。</w:t>
      </w:r>
    </w:p>
    <w:p>
      <w:pPr>
        <w:pStyle w:val="3"/>
        <w:rPr>
          <w:rFonts w:cs="Times New Roman"/>
          <w:b w:val="0"/>
          <w:bCs w:val="0"/>
          <w:sz w:val="30"/>
          <w:szCs w:val="30"/>
        </w:rPr>
      </w:pPr>
      <w:bookmarkStart w:id="17" w:name="_Toc31799"/>
      <w:r>
        <w:rPr>
          <w:rFonts w:hint="eastAsia" w:cs="黑体"/>
          <w:b w:val="0"/>
          <w:bCs w:val="0"/>
          <w:sz w:val="30"/>
          <w:szCs w:val="30"/>
        </w:rPr>
        <w:t>（</w:t>
      </w:r>
      <w:r>
        <w:rPr>
          <w:rFonts w:hint="eastAsia" w:cs="黑体"/>
          <w:b w:val="0"/>
          <w:bCs w:val="0"/>
          <w:sz w:val="30"/>
          <w:szCs w:val="30"/>
          <w:lang w:val="en-US" w:eastAsia="zh-CN"/>
        </w:rPr>
        <w:t>四</w:t>
      </w:r>
      <w:r>
        <w:rPr>
          <w:rFonts w:hint="eastAsia" w:cs="黑体"/>
          <w:b w:val="0"/>
          <w:bCs w:val="0"/>
          <w:sz w:val="30"/>
          <w:szCs w:val="30"/>
        </w:rPr>
        <w:t>）积极投身公益</w:t>
      </w:r>
      <w:bookmarkEnd w:id="17"/>
    </w:p>
    <w:p>
      <w:pPr>
        <w:spacing w:line="360" w:lineRule="auto"/>
        <w:ind w:firstLine="480" w:firstLineChars="200"/>
        <w:rPr>
          <w:rFonts w:ascii="??_GB2312" w:eastAsia="Times New Roman"/>
          <w:sz w:val="24"/>
          <w:szCs w:val="24"/>
        </w:rPr>
      </w:pPr>
      <w:r>
        <w:rPr>
          <w:rFonts w:ascii="??_GB2312" w:eastAsia="Times New Roman"/>
          <w:sz w:val="24"/>
          <w:szCs w:val="24"/>
        </w:rPr>
        <w:t>在保持业务高速发展的同时，公司不忘回报社会，注重构建和谐、友善的公共关系，在兼顾公司和股东利益的情况下，不断提高员工福利待遇，热心支持公益事业，全力打造国家、企业、员工“三赢”的局面，多年来为国家和社会作出了应有的贡献，使公司在社会上的知名度、美誉度得到了不断的提高，公司的凝聚力也得到了不断的增强。</w:t>
      </w:r>
    </w:p>
    <w:p>
      <w:pPr>
        <w:adjustRightInd w:val="0"/>
        <w:snapToGrid w:val="0"/>
        <w:spacing w:line="360" w:lineRule="auto"/>
        <w:jc w:val="center"/>
        <w:rPr>
          <w:rFonts w:ascii="宋体"/>
          <w:b/>
          <w:bCs/>
          <w:color w:val="000000"/>
          <w:kern w:val="21"/>
        </w:rPr>
      </w:pPr>
      <w:r>
        <w:rPr>
          <w:rFonts w:ascii="宋体" w:hAnsi="宋体" w:cs="宋体"/>
          <w:b/>
          <w:bCs/>
          <w:color w:val="000000"/>
          <w:kern w:val="21"/>
        </w:rPr>
        <w:t xml:space="preserve"> </w:t>
      </w:r>
      <w:r>
        <w:rPr>
          <w:rFonts w:hint="eastAsia" w:ascii="宋体" w:hAnsi="宋体" w:cs="宋体"/>
          <w:b/>
          <w:bCs/>
          <w:color w:val="000000"/>
          <w:kern w:val="21"/>
        </w:rPr>
        <w:t>近三年来公司支持公益情况</w:t>
      </w:r>
    </w:p>
    <w:tbl>
      <w:tblPr>
        <w:tblStyle w:val="22"/>
        <w:tblpPr w:leftFromText="180" w:rightFromText="180" w:vertAnchor="text" w:horzAnchor="page" w:tblpX="1631" w:tblpY="462"/>
        <w:tblOverlap w:val="never"/>
        <w:tblW w:w="87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01"/>
        <w:gridCol w:w="2532"/>
        <w:gridCol w:w="30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3201" w:type="dxa"/>
            <w:tcBorders>
              <w:top w:val="single" w:color="auto" w:sz="12" w:space="0"/>
            </w:tcBorders>
            <w:shd w:val="clear" w:color="auto" w:fill="4F81BD"/>
            <w:vAlign w:val="center"/>
          </w:tcPr>
          <w:p>
            <w:pPr>
              <w:widowControl/>
              <w:jc w:val="center"/>
              <w:rPr>
                <w:b/>
                <w:bCs/>
                <w:kern w:val="0"/>
              </w:rPr>
            </w:pPr>
            <w:r>
              <w:rPr>
                <w:rFonts w:hint="eastAsia" w:cs="宋体"/>
                <w:b/>
                <w:bCs/>
                <w:kern w:val="0"/>
              </w:rPr>
              <w:t>公益项目</w:t>
            </w:r>
          </w:p>
        </w:tc>
        <w:tc>
          <w:tcPr>
            <w:tcW w:w="2532" w:type="dxa"/>
            <w:tcBorders>
              <w:top w:val="single" w:color="auto" w:sz="12" w:space="0"/>
            </w:tcBorders>
            <w:shd w:val="clear" w:color="auto" w:fill="4F81BD"/>
            <w:vAlign w:val="center"/>
          </w:tcPr>
          <w:p>
            <w:pPr>
              <w:widowControl/>
              <w:jc w:val="center"/>
              <w:rPr>
                <w:b/>
                <w:bCs/>
                <w:kern w:val="0"/>
              </w:rPr>
            </w:pPr>
            <w:r>
              <w:rPr>
                <w:rFonts w:hint="eastAsia" w:cs="宋体"/>
                <w:b/>
                <w:bCs/>
                <w:kern w:val="0"/>
              </w:rPr>
              <w:t>时间</w:t>
            </w:r>
          </w:p>
        </w:tc>
        <w:tc>
          <w:tcPr>
            <w:tcW w:w="3056" w:type="dxa"/>
            <w:tcBorders>
              <w:top w:val="single" w:color="auto" w:sz="12" w:space="0"/>
            </w:tcBorders>
            <w:shd w:val="clear" w:color="auto" w:fill="4F81BD"/>
            <w:vAlign w:val="center"/>
          </w:tcPr>
          <w:p>
            <w:pPr>
              <w:widowControl/>
              <w:ind w:left="-288" w:leftChars="-137" w:firstLine="221" w:firstLineChars="105"/>
              <w:jc w:val="center"/>
              <w:rPr>
                <w:b/>
                <w:bCs/>
                <w:kern w:val="0"/>
              </w:rPr>
            </w:pPr>
            <w:r>
              <w:rPr>
                <w:rFonts w:hint="eastAsia" w:cs="宋体"/>
                <w:b/>
                <w:bCs/>
                <w:kern w:val="0"/>
              </w:rPr>
              <w:t>支持金额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201" w:type="dxa"/>
            <w:vAlign w:val="center"/>
          </w:tcPr>
          <w:p>
            <w:pPr>
              <w:widowControl/>
              <w:jc w:val="center"/>
              <w:textAlignment w:val="center"/>
              <w:rPr>
                <w:rFonts w:ascii="宋体"/>
                <w:color w:val="auto"/>
              </w:rPr>
            </w:pPr>
            <w:r>
              <w:rPr>
                <w:rFonts w:hint="eastAsia" w:ascii="宋体" w:hAnsi="宋体" w:cs="宋体"/>
                <w:color w:val="auto"/>
              </w:rPr>
              <w:t>慈善总会</w:t>
            </w:r>
            <w:r>
              <w:rPr>
                <w:rFonts w:ascii="宋体" w:hAnsi="宋体" w:cs="宋体"/>
                <w:color w:val="auto"/>
              </w:rPr>
              <w:t xml:space="preserve"> </w:t>
            </w:r>
          </w:p>
        </w:tc>
        <w:tc>
          <w:tcPr>
            <w:tcW w:w="2532" w:type="dxa"/>
            <w:vAlign w:val="center"/>
          </w:tcPr>
          <w:p>
            <w:pPr>
              <w:jc w:val="center"/>
              <w:rPr>
                <w:rFonts w:hint="default" w:ascii="宋体" w:eastAsia="宋体"/>
                <w:color w:val="auto"/>
                <w:lang w:val="en-US" w:eastAsia="zh-CN"/>
              </w:rPr>
            </w:pPr>
            <w:r>
              <w:rPr>
                <w:rFonts w:ascii="宋体" w:cs="宋体"/>
                <w:color w:val="auto"/>
              </w:rPr>
              <w:t>20</w:t>
            </w:r>
            <w:r>
              <w:rPr>
                <w:rFonts w:hint="eastAsia" w:ascii="宋体" w:cs="宋体"/>
                <w:color w:val="auto"/>
                <w:lang w:val="en-US" w:eastAsia="zh-CN"/>
              </w:rPr>
              <w:t>23</w:t>
            </w:r>
          </w:p>
        </w:tc>
        <w:tc>
          <w:tcPr>
            <w:tcW w:w="3056" w:type="dxa"/>
            <w:vAlign w:val="center"/>
          </w:tcPr>
          <w:p>
            <w:pPr>
              <w:jc w:val="center"/>
              <w:rPr>
                <w:rFonts w:ascii="宋体"/>
                <w:color w:val="auto"/>
              </w:rPr>
            </w:pPr>
            <w:r>
              <w:rPr>
                <w:rFonts w:hint="eastAsia" w:ascii="宋体" w:cs="宋体"/>
                <w:color w:val="auto"/>
                <w:lang w:val="en-US" w:eastAsia="zh-CN"/>
              </w:rPr>
              <w:t>12</w:t>
            </w:r>
            <w:r>
              <w:rPr>
                <w:rFonts w:hint="eastAsia" w:ascii="宋体" w:cs="宋体"/>
                <w:color w:val="auto"/>
              </w:rPr>
              <w:t>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201" w:type="dxa"/>
            <w:vAlign w:val="center"/>
          </w:tcPr>
          <w:p>
            <w:pPr>
              <w:jc w:val="center"/>
              <w:rPr>
                <w:rFonts w:ascii="宋体"/>
                <w:color w:val="auto"/>
              </w:rPr>
            </w:pPr>
            <w:r>
              <w:rPr>
                <w:rFonts w:hint="eastAsia" w:ascii="宋体" w:hAnsi="宋体" w:cs="宋体"/>
                <w:color w:val="auto"/>
              </w:rPr>
              <w:t>行业协会</w:t>
            </w:r>
            <w:r>
              <w:rPr>
                <w:rFonts w:ascii="宋体" w:hAnsi="宋体" w:cs="宋体"/>
                <w:color w:val="auto"/>
              </w:rPr>
              <w:t xml:space="preserve"> </w:t>
            </w:r>
          </w:p>
        </w:tc>
        <w:tc>
          <w:tcPr>
            <w:tcW w:w="2532" w:type="dxa"/>
            <w:vAlign w:val="center"/>
          </w:tcPr>
          <w:p>
            <w:pPr>
              <w:jc w:val="center"/>
              <w:rPr>
                <w:rFonts w:hint="default" w:ascii="宋体" w:eastAsia="宋体"/>
                <w:color w:val="auto"/>
                <w:lang w:val="en-US" w:eastAsia="zh-CN"/>
              </w:rPr>
            </w:pPr>
            <w:r>
              <w:rPr>
                <w:rFonts w:hint="eastAsia" w:ascii="宋体"/>
                <w:color w:val="auto"/>
                <w:lang w:val="en-US" w:eastAsia="zh-CN"/>
              </w:rPr>
              <w:t>2022、2023</w:t>
            </w:r>
          </w:p>
        </w:tc>
        <w:tc>
          <w:tcPr>
            <w:tcW w:w="3056" w:type="dxa"/>
            <w:vAlign w:val="center"/>
          </w:tcPr>
          <w:p>
            <w:pPr>
              <w:jc w:val="center"/>
              <w:rPr>
                <w:rFonts w:ascii="宋体"/>
                <w:color w:val="auto"/>
              </w:rPr>
            </w:pPr>
            <w:r>
              <w:rPr>
                <w:rFonts w:hint="eastAsia" w:ascii="宋体" w:hAnsi="宋体" w:cs="宋体"/>
                <w:color w:val="auto"/>
                <w:lang w:val="en-US" w:eastAsia="zh-CN"/>
              </w:rPr>
              <w:t>8万</w:t>
            </w:r>
            <w:r>
              <w:rPr>
                <w:rFonts w:ascii="宋体" w:hAnsi="宋体" w:cs="宋体"/>
                <w:color w:val="auto"/>
              </w:rPr>
              <w:t xml:space="preserve"> </w:t>
            </w:r>
          </w:p>
        </w:tc>
      </w:tr>
    </w:tbl>
    <w:p>
      <w:pPr>
        <w:spacing w:line="360" w:lineRule="auto"/>
        <w:jc w:val="center"/>
        <w:rPr>
          <w:rFonts w:ascii="??_GB2312" w:hAnsi="Times New Roman" w:eastAsia="Times New Roman" w:cs="Times New Roman"/>
          <w:kern w:val="2"/>
          <w:sz w:val="24"/>
          <w:szCs w:val="24"/>
          <w:lang w:val="en-US" w:eastAsia="zh-CN" w:bidi="ar-SA"/>
        </w:rPr>
      </w:pPr>
      <w:r>
        <w:rPr>
          <w:rFonts w:ascii="??_GB2312" w:hAnsi="Times New Roman" w:eastAsia="Times New Roman" w:cs="Times New Roman"/>
          <w:kern w:val="2"/>
          <w:sz w:val="24"/>
          <w:szCs w:val="24"/>
          <w:lang w:val="en-US" w:eastAsia="zh-CN" w:bidi="ar-SA"/>
        </w:rPr>
        <w:t xml:space="preserve">                                   </w:t>
      </w:r>
    </w:p>
    <w:p>
      <w:pPr>
        <w:spacing w:line="360" w:lineRule="auto"/>
        <w:ind w:firstLine="3600" w:firstLineChars="1500"/>
        <w:rPr>
          <w:rFonts w:hint="eastAsia" w:ascii="??_GB2312" w:hAnsi="Times New Roman" w:eastAsia="Times New Roman" w:cs="Times New Roman"/>
          <w:kern w:val="2"/>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00006FF" w:usb1="4000205B" w:usb2="0000001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rPr>
        <w:rStyle w:val="25"/>
      </w:rPr>
      <w:fldChar w:fldCharType="begin"/>
    </w:r>
    <w:r>
      <w:rPr>
        <w:rStyle w:val="25"/>
      </w:rPr>
      <w:instrText xml:space="preserve">PAGE  </w:instrText>
    </w:r>
    <w:r>
      <w:rPr>
        <w:rStyle w:val="25"/>
      </w:rPr>
      <w:fldChar w:fldCharType="separate"/>
    </w:r>
    <w:r>
      <w:rPr>
        <w:rStyle w:val="25"/>
      </w:rPr>
      <w:t>13</w:t>
    </w:r>
    <w:r>
      <w:rPr>
        <w:rStyle w:val="25"/>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rPr>
        <w:rFonts w:hAnsi="黑体"/>
        <w:color w:val="FF0000"/>
        <w:sz w:val="28"/>
        <w:szCs w:val="28"/>
      </w:rPr>
      <w:t xml:space="preserve"> </w:t>
    </w:r>
    <w:r>
      <w:rPr>
        <w:sz w:val="21"/>
        <w:szCs w:val="21"/>
      </w:rPr>
      <w:t xml:space="preserve">                  </w:t>
    </w:r>
    <w:r>
      <w:rPr>
        <w:sz w:val="28"/>
        <w:szCs w:val="28"/>
      </w:rPr>
      <w:t xml:space="preserve">         </w:t>
    </w:r>
    <w:r>
      <w:rPr>
        <w:rFonts w:hint="eastAsia" w:ascii="楷体" w:hAnsi="楷体" w:eastAsia="楷体" w:cs="楷体"/>
        <w:sz w:val="28"/>
        <w:szCs w:val="28"/>
      </w:rPr>
      <w:t>社会责任报告</w:t>
    </w:r>
    <w:r>
      <w:rPr>
        <w:rFonts w:ascii="楷体" w:hAnsi="楷体" w:eastAsia="楷体" w:cs="楷体"/>
        <w:sz w:val="28"/>
        <w:szCs w:val="28"/>
      </w:rPr>
      <w:t xml:space="preserve"> </w:t>
    </w:r>
    <w:r>
      <w:rPr>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AyM2YyODZlYjliMjlmNjc3MmIwNTA5M2Y2MGI5OWMifQ=="/>
  </w:docVars>
  <w:rsids>
    <w:rsidRoot w:val="006E16A8"/>
    <w:rsid w:val="000010B8"/>
    <w:rsid w:val="0000292D"/>
    <w:rsid w:val="000036A5"/>
    <w:rsid w:val="00003A77"/>
    <w:rsid w:val="00010DBA"/>
    <w:rsid w:val="00011203"/>
    <w:rsid w:val="0002063E"/>
    <w:rsid w:val="000343DA"/>
    <w:rsid w:val="00046CAC"/>
    <w:rsid w:val="00054CC1"/>
    <w:rsid w:val="00056499"/>
    <w:rsid w:val="00066B7B"/>
    <w:rsid w:val="000743F0"/>
    <w:rsid w:val="0007660B"/>
    <w:rsid w:val="00084C6C"/>
    <w:rsid w:val="00087D29"/>
    <w:rsid w:val="00087EAC"/>
    <w:rsid w:val="000912B4"/>
    <w:rsid w:val="000A7425"/>
    <w:rsid w:val="000C08FD"/>
    <w:rsid w:val="000C7337"/>
    <w:rsid w:val="000D371D"/>
    <w:rsid w:val="000E0911"/>
    <w:rsid w:val="000E1478"/>
    <w:rsid w:val="000E2505"/>
    <w:rsid w:val="000E2F48"/>
    <w:rsid w:val="000E4F63"/>
    <w:rsid w:val="000F3570"/>
    <w:rsid w:val="000F3C71"/>
    <w:rsid w:val="000F4C21"/>
    <w:rsid w:val="00102F00"/>
    <w:rsid w:val="0010569F"/>
    <w:rsid w:val="0011125F"/>
    <w:rsid w:val="00112027"/>
    <w:rsid w:val="00121139"/>
    <w:rsid w:val="001225F8"/>
    <w:rsid w:val="00124CA6"/>
    <w:rsid w:val="0013312D"/>
    <w:rsid w:val="00140F85"/>
    <w:rsid w:val="00142CF4"/>
    <w:rsid w:val="001445BC"/>
    <w:rsid w:val="00150CA8"/>
    <w:rsid w:val="00154C65"/>
    <w:rsid w:val="00156367"/>
    <w:rsid w:val="00157DE3"/>
    <w:rsid w:val="0016705C"/>
    <w:rsid w:val="00192A66"/>
    <w:rsid w:val="001951F4"/>
    <w:rsid w:val="001A6D68"/>
    <w:rsid w:val="001C063A"/>
    <w:rsid w:val="001C7F2C"/>
    <w:rsid w:val="001D13F3"/>
    <w:rsid w:val="001D3E46"/>
    <w:rsid w:val="001D4363"/>
    <w:rsid w:val="001E0ECC"/>
    <w:rsid w:val="001E1CEE"/>
    <w:rsid w:val="001E5F20"/>
    <w:rsid w:val="00204016"/>
    <w:rsid w:val="0021127C"/>
    <w:rsid w:val="002146F5"/>
    <w:rsid w:val="00225BB4"/>
    <w:rsid w:val="00227D69"/>
    <w:rsid w:val="002352ED"/>
    <w:rsid w:val="00240C17"/>
    <w:rsid w:val="002457D6"/>
    <w:rsid w:val="002472CB"/>
    <w:rsid w:val="00251BD6"/>
    <w:rsid w:val="0025399A"/>
    <w:rsid w:val="002557B7"/>
    <w:rsid w:val="00262558"/>
    <w:rsid w:val="00281C76"/>
    <w:rsid w:val="002849D2"/>
    <w:rsid w:val="0029288A"/>
    <w:rsid w:val="002931F8"/>
    <w:rsid w:val="00295959"/>
    <w:rsid w:val="002A3FD6"/>
    <w:rsid w:val="002A40B6"/>
    <w:rsid w:val="002A4EED"/>
    <w:rsid w:val="002A788F"/>
    <w:rsid w:val="002B1B9C"/>
    <w:rsid w:val="002B3E46"/>
    <w:rsid w:val="002C21AB"/>
    <w:rsid w:val="002C29CA"/>
    <w:rsid w:val="002C56A3"/>
    <w:rsid w:val="002C7182"/>
    <w:rsid w:val="002D15FB"/>
    <w:rsid w:val="002D4FEB"/>
    <w:rsid w:val="002F3EC1"/>
    <w:rsid w:val="002F7183"/>
    <w:rsid w:val="00300FDC"/>
    <w:rsid w:val="00303551"/>
    <w:rsid w:val="00313956"/>
    <w:rsid w:val="00317BC5"/>
    <w:rsid w:val="0032023D"/>
    <w:rsid w:val="00322212"/>
    <w:rsid w:val="00327120"/>
    <w:rsid w:val="00327342"/>
    <w:rsid w:val="0033340D"/>
    <w:rsid w:val="00335E4F"/>
    <w:rsid w:val="00343BA1"/>
    <w:rsid w:val="00345A86"/>
    <w:rsid w:val="00346A2B"/>
    <w:rsid w:val="0035458D"/>
    <w:rsid w:val="0035481A"/>
    <w:rsid w:val="00354CF0"/>
    <w:rsid w:val="00375918"/>
    <w:rsid w:val="0038500E"/>
    <w:rsid w:val="003856CE"/>
    <w:rsid w:val="0038795D"/>
    <w:rsid w:val="00387B67"/>
    <w:rsid w:val="003911CC"/>
    <w:rsid w:val="00397A3C"/>
    <w:rsid w:val="003B3048"/>
    <w:rsid w:val="003D30D4"/>
    <w:rsid w:val="003E0973"/>
    <w:rsid w:val="003E2464"/>
    <w:rsid w:val="003E2E60"/>
    <w:rsid w:val="003E4ECC"/>
    <w:rsid w:val="003E5C3B"/>
    <w:rsid w:val="003E6A0C"/>
    <w:rsid w:val="003F1E2E"/>
    <w:rsid w:val="003F6B53"/>
    <w:rsid w:val="003F75EF"/>
    <w:rsid w:val="00400FAD"/>
    <w:rsid w:val="0040322D"/>
    <w:rsid w:val="0040659B"/>
    <w:rsid w:val="004067E7"/>
    <w:rsid w:val="00414803"/>
    <w:rsid w:val="00421B50"/>
    <w:rsid w:val="00421C94"/>
    <w:rsid w:val="00422E7A"/>
    <w:rsid w:val="00423E4F"/>
    <w:rsid w:val="004259FC"/>
    <w:rsid w:val="00426411"/>
    <w:rsid w:val="004304A8"/>
    <w:rsid w:val="00430509"/>
    <w:rsid w:val="004366F4"/>
    <w:rsid w:val="00444728"/>
    <w:rsid w:val="0044772E"/>
    <w:rsid w:val="004517E5"/>
    <w:rsid w:val="00460FBB"/>
    <w:rsid w:val="004651A6"/>
    <w:rsid w:val="004672B9"/>
    <w:rsid w:val="004710DD"/>
    <w:rsid w:val="00472FC9"/>
    <w:rsid w:val="00473CFC"/>
    <w:rsid w:val="004A44C9"/>
    <w:rsid w:val="004A5777"/>
    <w:rsid w:val="004A6BE2"/>
    <w:rsid w:val="004B14C8"/>
    <w:rsid w:val="004B2966"/>
    <w:rsid w:val="004B4977"/>
    <w:rsid w:val="004B58C6"/>
    <w:rsid w:val="004C0D4C"/>
    <w:rsid w:val="004D3963"/>
    <w:rsid w:val="004D4609"/>
    <w:rsid w:val="004D740D"/>
    <w:rsid w:val="004E18E3"/>
    <w:rsid w:val="004E44D8"/>
    <w:rsid w:val="004F0436"/>
    <w:rsid w:val="004F78E2"/>
    <w:rsid w:val="00501871"/>
    <w:rsid w:val="00505A53"/>
    <w:rsid w:val="00510345"/>
    <w:rsid w:val="00516936"/>
    <w:rsid w:val="00522B5C"/>
    <w:rsid w:val="0054201A"/>
    <w:rsid w:val="00555159"/>
    <w:rsid w:val="00564669"/>
    <w:rsid w:val="00565664"/>
    <w:rsid w:val="00565AED"/>
    <w:rsid w:val="005660FD"/>
    <w:rsid w:val="00566A82"/>
    <w:rsid w:val="0058438D"/>
    <w:rsid w:val="005843B6"/>
    <w:rsid w:val="005A6197"/>
    <w:rsid w:val="005B0CB1"/>
    <w:rsid w:val="005B3EFD"/>
    <w:rsid w:val="005B49D1"/>
    <w:rsid w:val="005B7A85"/>
    <w:rsid w:val="005D5383"/>
    <w:rsid w:val="005E1992"/>
    <w:rsid w:val="005E6074"/>
    <w:rsid w:val="005E674A"/>
    <w:rsid w:val="005F66AF"/>
    <w:rsid w:val="005F7612"/>
    <w:rsid w:val="00603660"/>
    <w:rsid w:val="006178AF"/>
    <w:rsid w:val="00626766"/>
    <w:rsid w:val="00651E41"/>
    <w:rsid w:val="00653173"/>
    <w:rsid w:val="00670560"/>
    <w:rsid w:val="00674603"/>
    <w:rsid w:val="00682CCD"/>
    <w:rsid w:val="006879A8"/>
    <w:rsid w:val="006A543B"/>
    <w:rsid w:val="006B5010"/>
    <w:rsid w:val="006B668E"/>
    <w:rsid w:val="006C1DD0"/>
    <w:rsid w:val="006D3FC0"/>
    <w:rsid w:val="006D694A"/>
    <w:rsid w:val="006E16A8"/>
    <w:rsid w:val="006F44A8"/>
    <w:rsid w:val="0070541D"/>
    <w:rsid w:val="007058E8"/>
    <w:rsid w:val="00710E12"/>
    <w:rsid w:val="0071104B"/>
    <w:rsid w:val="007111CF"/>
    <w:rsid w:val="00711429"/>
    <w:rsid w:val="0072062A"/>
    <w:rsid w:val="00720F34"/>
    <w:rsid w:val="00725311"/>
    <w:rsid w:val="0072597E"/>
    <w:rsid w:val="007307D2"/>
    <w:rsid w:val="00730CFE"/>
    <w:rsid w:val="00735085"/>
    <w:rsid w:val="00737332"/>
    <w:rsid w:val="00743AB6"/>
    <w:rsid w:val="007450BA"/>
    <w:rsid w:val="00745347"/>
    <w:rsid w:val="00746A5D"/>
    <w:rsid w:val="00751DB9"/>
    <w:rsid w:val="0075667D"/>
    <w:rsid w:val="0076540D"/>
    <w:rsid w:val="00771CB2"/>
    <w:rsid w:val="0077354F"/>
    <w:rsid w:val="00776B93"/>
    <w:rsid w:val="00777D4F"/>
    <w:rsid w:val="00794469"/>
    <w:rsid w:val="007961B0"/>
    <w:rsid w:val="007A6E27"/>
    <w:rsid w:val="007B28B2"/>
    <w:rsid w:val="007C026E"/>
    <w:rsid w:val="007C0ACA"/>
    <w:rsid w:val="007C3033"/>
    <w:rsid w:val="007C7C86"/>
    <w:rsid w:val="007D49E4"/>
    <w:rsid w:val="007D4F66"/>
    <w:rsid w:val="007D603A"/>
    <w:rsid w:val="007E4FC3"/>
    <w:rsid w:val="007E616B"/>
    <w:rsid w:val="008021F0"/>
    <w:rsid w:val="008078C7"/>
    <w:rsid w:val="00812654"/>
    <w:rsid w:val="008205F1"/>
    <w:rsid w:val="0083078F"/>
    <w:rsid w:val="008317C1"/>
    <w:rsid w:val="00833C03"/>
    <w:rsid w:val="008524A9"/>
    <w:rsid w:val="008537B7"/>
    <w:rsid w:val="008653A2"/>
    <w:rsid w:val="00875159"/>
    <w:rsid w:val="008803FD"/>
    <w:rsid w:val="008857B6"/>
    <w:rsid w:val="00890449"/>
    <w:rsid w:val="00893280"/>
    <w:rsid w:val="00895D21"/>
    <w:rsid w:val="008A157E"/>
    <w:rsid w:val="008A170C"/>
    <w:rsid w:val="008B2CA9"/>
    <w:rsid w:val="008B4758"/>
    <w:rsid w:val="008B4E61"/>
    <w:rsid w:val="008B59F2"/>
    <w:rsid w:val="008B5A92"/>
    <w:rsid w:val="008C3273"/>
    <w:rsid w:val="008D65FA"/>
    <w:rsid w:val="008F0FBA"/>
    <w:rsid w:val="008F6541"/>
    <w:rsid w:val="008F6AF0"/>
    <w:rsid w:val="00927B63"/>
    <w:rsid w:val="00931DE9"/>
    <w:rsid w:val="00933C7C"/>
    <w:rsid w:val="00937225"/>
    <w:rsid w:val="00937B86"/>
    <w:rsid w:val="00940FCF"/>
    <w:rsid w:val="00951B3C"/>
    <w:rsid w:val="00957157"/>
    <w:rsid w:val="00962DB0"/>
    <w:rsid w:val="00972C3B"/>
    <w:rsid w:val="009752E2"/>
    <w:rsid w:val="00975CD1"/>
    <w:rsid w:val="00977BAF"/>
    <w:rsid w:val="00981E18"/>
    <w:rsid w:val="009834D7"/>
    <w:rsid w:val="00985D20"/>
    <w:rsid w:val="00995098"/>
    <w:rsid w:val="009B7D01"/>
    <w:rsid w:val="009C14E2"/>
    <w:rsid w:val="009C2D21"/>
    <w:rsid w:val="009C6250"/>
    <w:rsid w:val="009C6847"/>
    <w:rsid w:val="009E09F0"/>
    <w:rsid w:val="009E24C9"/>
    <w:rsid w:val="009E529D"/>
    <w:rsid w:val="009F101D"/>
    <w:rsid w:val="009F1EEE"/>
    <w:rsid w:val="009F26C9"/>
    <w:rsid w:val="009F6589"/>
    <w:rsid w:val="00A102E9"/>
    <w:rsid w:val="00A1141A"/>
    <w:rsid w:val="00A12180"/>
    <w:rsid w:val="00A20AC5"/>
    <w:rsid w:val="00A27AA6"/>
    <w:rsid w:val="00A31B04"/>
    <w:rsid w:val="00A31B44"/>
    <w:rsid w:val="00A329A6"/>
    <w:rsid w:val="00A35966"/>
    <w:rsid w:val="00A36D96"/>
    <w:rsid w:val="00A514FD"/>
    <w:rsid w:val="00A52EDA"/>
    <w:rsid w:val="00A554B4"/>
    <w:rsid w:val="00A61564"/>
    <w:rsid w:val="00A70BA9"/>
    <w:rsid w:val="00A820F4"/>
    <w:rsid w:val="00A846DC"/>
    <w:rsid w:val="00A84A1E"/>
    <w:rsid w:val="00A861B6"/>
    <w:rsid w:val="00A867E0"/>
    <w:rsid w:val="00A87DBE"/>
    <w:rsid w:val="00A91A4C"/>
    <w:rsid w:val="00A93827"/>
    <w:rsid w:val="00AA45F1"/>
    <w:rsid w:val="00AA55AB"/>
    <w:rsid w:val="00AB2597"/>
    <w:rsid w:val="00AB4D01"/>
    <w:rsid w:val="00AD1CA3"/>
    <w:rsid w:val="00AD7A91"/>
    <w:rsid w:val="00AE4B80"/>
    <w:rsid w:val="00AE5E5E"/>
    <w:rsid w:val="00AF1C0C"/>
    <w:rsid w:val="00AF2595"/>
    <w:rsid w:val="00AF390D"/>
    <w:rsid w:val="00AF4368"/>
    <w:rsid w:val="00AF6972"/>
    <w:rsid w:val="00AF6F05"/>
    <w:rsid w:val="00AF7E27"/>
    <w:rsid w:val="00B0632D"/>
    <w:rsid w:val="00B06DA5"/>
    <w:rsid w:val="00B156CB"/>
    <w:rsid w:val="00B24B6C"/>
    <w:rsid w:val="00B25AFA"/>
    <w:rsid w:val="00B26592"/>
    <w:rsid w:val="00B33552"/>
    <w:rsid w:val="00B46F73"/>
    <w:rsid w:val="00B51EDD"/>
    <w:rsid w:val="00B56B4A"/>
    <w:rsid w:val="00B60F2B"/>
    <w:rsid w:val="00B63F0A"/>
    <w:rsid w:val="00B70E1D"/>
    <w:rsid w:val="00B71823"/>
    <w:rsid w:val="00B753D6"/>
    <w:rsid w:val="00B77F59"/>
    <w:rsid w:val="00B804D1"/>
    <w:rsid w:val="00B81E30"/>
    <w:rsid w:val="00B8526C"/>
    <w:rsid w:val="00B917B2"/>
    <w:rsid w:val="00BB0C7A"/>
    <w:rsid w:val="00BB21EB"/>
    <w:rsid w:val="00BB6A3F"/>
    <w:rsid w:val="00BB6C2D"/>
    <w:rsid w:val="00BB7701"/>
    <w:rsid w:val="00BD1DE6"/>
    <w:rsid w:val="00BD5FFB"/>
    <w:rsid w:val="00BE2BC3"/>
    <w:rsid w:val="00BE504C"/>
    <w:rsid w:val="00BE67D0"/>
    <w:rsid w:val="00BE6D95"/>
    <w:rsid w:val="00BE794E"/>
    <w:rsid w:val="00BF08B4"/>
    <w:rsid w:val="00BF7D41"/>
    <w:rsid w:val="00C062D9"/>
    <w:rsid w:val="00C11722"/>
    <w:rsid w:val="00C11E76"/>
    <w:rsid w:val="00C17621"/>
    <w:rsid w:val="00C23094"/>
    <w:rsid w:val="00C27B8C"/>
    <w:rsid w:val="00C318D6"/>
    <w:rsid w:val="00C33ADB"/>
    <w:rsid w:val="00C34452"/>
    <w:rsid w:val="00C41289"/>
    <w:rsid w:val="00C435F0"/>
    <w:rsid w:val="00C44698"/>
    <w:rsid w:val="00C46B72"/>
    <w:rsid w:val="00C50095"/>
    <w:rsid w:val="00C537D8"/>
    <w:rsid w:val="00C53E32"/>
    <w:rsid w:val="00C57566"/>
    <w:rsid w:val="00C57FF0"/>
    <w:rsid w:val="00C6307F"/>
    <w:rsid w:val="00C71457"/>
    <w:rsid w:val="00C75589"/>
    <w:rsid w:val="00C76AF0"/>
    <w:rsid w:val="00C77E3A"/>
    <w:rsid w:val="00C84349"/>
    <w:rsid w:val="00C923BF"/>
    <w:rsid w:val="00C93B4A"/>
    <w:rsid w:val="00C950CA"/>
    <w:rsid w:val="00CA3FB5"/>
    <w:rsid w:val="00CA5C4B"/>
    <w:rsid w:val="00CA75CB"/>
    <w:rsid w:val="00CB1EA4"/>
    <w:rsid w:val="00CB2AA5"/>
    <w:rsid w:val="00CB3B3B"/>
    <w:rsid w:val="00CB69D6"/>
    <w:rsid w:val="00CB7949"/>
    <w:rsid w:val="00CC0391"/>
    <w:rsid w:val="00CC7CCF"/>
    <w:rsid w:val="00CD0ADD"/>
    <w:rsid w:val="00CD5AE0"/>
    <w:rsid w:val="00CE7431"/>
    <w:rsid w:val="00CF304C"/>
    <w:rsid w:val="00D00112"/>
    <w:rsid w:val="00D13DEF"/>
    <w:rsid w:val="00D218B5"/>
    <w:rsid w:val="00D25C6F"/>
    <w:rsid w:val="00D26286"/>
    <w:rsid w:val="00D2672F"/>
    <w:rsid w:val="00D3071C"/>
    <w:rsid w:val="00D30A12"/>
    <w:rsid w:val="00D30ED8"/>
    <w:rsid w:val="00D3563F"/>
    <w:rsid w:val="00D365F9"/>
    <w:rsid w:val="00D45A4A"/>
    <w:rsid w:val="00D4676B"/>
    <w:rsid w:val="00D52340"/>
    <w:rsid w:val="00D53A4D"/>
    <w:rsid w:val="00D57F6A"/>
    <w:rsid w:val="00D63219"/>
    <w:rsid w:val="00D641A5"/>
    <w:rsid w:val="00D65008"/>
    <w:rsid w:val="00D6758D"/>
    <w:rsid w:val="00D71B0E"/>
    <w:rsid w:val="00D80DAE"/>
    <w:rsid w:val="00D8346F"/>
    <w:rsid w:val="00D85689"/>
    <w:rsid w:val="00D86FFB"/>
    <w:rsid w:val="00D87F14"/>
    <w:rsid w:val="00DA05C3"/>
    <w:rsid w:val="00DA239A"/>
    <w:rsid w:val="00DA46CC"/>
    <w:rsid w:val="00DA5F78"/>
    <w:rsid w:val="00DB005B"/>
    <w:rsid w:val="00DB3BB0"/>
    <w:rsid w:val="00DB5498"/>
    <w:rsid w:val="00DC01B7"/>
    <w:rsid w:val="00DC1493"/>
    <w:rsid w:val="00DC302C"/>
    <w:rsid w:val="00DC57FF"/>
    <w:rsid w:val="00DE15C6"/>
    <w:rsid w:val="00DE33DB"/>
    <w:rsid w:val="00DE70FD"/>
    <w:rsid w:val="00DF6053"/>
    <w:rsid w:val="00DF6E3C"/>
    <w:rsid w:val="00E004E5"/>
    <w:rsid w:val="00E045C4"/>
    <w:rsid w:val="00E065B9"/>
    <w:rsid w:val="00E20158"/>
    <w:rsid w:val="00E22025"/>
    <w:rsid w:val="00E33730"/>
    <w:rsid w:val="00E342BD"/>
    <w:rsid w:val="00E362F6"/>
    <w:rsid w:val="00E37A4C"/>
    <w:rsid w:val="00E42149"/>
    <w:rsid w:val="00E436C0"/>
    <w:rsid w:val="00E46FA2"/>
    <w:rsid w:val="00E51C4D"/>
    <w:rsid w:val="00E52DA9"/>
    <w:rsid w:val="00E6215E"/>
    <w:rsid w:val="00E646AC"/>
    <w:rsid w:val="00E76F73"/>
    <w:rsid w:val="00E846FF"/>
    <w:rsid w:val="00E9041E"/>
    <w:rsid w:val="00E91857"/>
    <w:rsid w:val="00E94826"/>
    <w:rsid w:val="00EA0C6F"/>
    <w:rsid w:val="00EA2E03"/>
    <w:rsid w:val="00EC4F5B"/>
    <w:rsid w:val="00ED1249"/>
    <w:rsid w:val="00ED56C6"/>
    <w:rsid w:val="00EE2E3E"/>
    <w:rsid w:val="00EE7A6F"/>
    <w:rsid w:val="00EF604C"/>
    <w:rsid w:val="00EF68B3"/>
    <w:rsid w:val="00F051CA"/>
    <w:rsid w:val="00F07409"/>
    <w:rsid w:val="00F12545"/>
    <w:rsid w:val="00F1446A"/>
    <w:rsid w:val="00F1678B"/>
    <w:rsid w:val="00F20418"/>
    <w:rsid w:val="00F20B3F"/>
    <w:rsid w:val="00F213C8"/>
    <w:rsid w:val="00F234D5"/>
    <w:rsid w:val="00F244A2"/>
    <w:rsid w:val="00F2464D"/>
    <w:rsid w:val="00F365A3"/>
    <w:rsid w:val="00F3685A"/>
    <w:rsid w:val="00F3730F"/>
    <w:rsid w:val="00F425DB"/>
    <w:rsid w:val="00F4741E"/>
    <w:rsid w:val="00F4776E"/>
    <w:rsid w:val="00F5397F"/>
    <w:rsid w:val="00F60A70"/>
    <w:rsid w:val="00F62BD9"/>
    <w:rsid w:val="00F65526"/>
    <w:rsid w:val="00F67910"/>
    <w:rsid w:val="00F7061B"/>
    <w:rsid w:val="00F72940"/>
    <w:rsid w:val="00F73417"/>
    <w:rsid w:val="00F7352D"/>
    <w:rsid w:val="00F80E82"/>
    <w:rsid w:val="00F830D1"/>
    <w:rsid w:val="00F8735F"/>
    <w:rsid w:val="00F9267D"/>
    <w:rsid w:val="00F9269D"/>
    <w:rsid w:val="00F933FA"/>
    <w:rsid w:val="00F95B72"/>
    <w:rsid w:val="00FA1D34"/>
    <w:rsid w:val="00FA408C"/>
    <w:rsid w:val="00FB1851"/>
    <w:rsid w:val="00FB3504"/>
    <w:rsid w:val="00FB3FFA"/>
    <w:rsid w:val="00FC7B6E"/>
    <w:rsid w:val="00FD0B26"/>
    <w:rsid w:val="00FE0904"/>
    <w:rsid w:val="00FE44B2"/>
    <w:rsid w:val="00FE51D3"/>
    <w:rsid w:val="00FE5C61"/>
    <w:rsid w:val="00FE63A3"/>
    <w:rsid w:val="00FF65F2"/>
    <w:rsid w:val="00FF7047"/>
    <w:rsid w:val="01776124"/>
    <w:rsid w:val="02355B59"/>
    <w:rsid w:val="02977258"/>
    <w:rsid w:val="03957320"/>
    <w:rsid w:val="04DF29B7"/>
    <w:rsid w:val="06701521"/>
    <w:rsid w:val="06F37963"/>
    <w:rsid w:val="09143644"/>
    <w:rsid w:val="091D5B62"/>
    <w:rsid w:val="0C3A72D9"/>
    <w:rsid w:val="0C432209"/>
    <w:rsid w:val="0C646E09"/>
    <w:rsid w:val="0EA077A3"/>
    <w:rsid w:val="0EDB7054"/>
    <w:rsid w:val="10761D19"/>
    <w:rsid w:val="120F7228"/>
    <w:rsid w:val="125B57AE"/>
    <w:rsid w:val="12E8676D"/>
    <w:rsid w:val="13572447"/>
    <w:rsid w:val="13613D8B"/>
    <w:rsid w:val="14216AB3"/>
    <w:rsid w:val="15512CC7"/>
    <w:rsid w:val="15BE22FA"/>
    <w:rsid w:val="166D339A"/>
    <w:rsid w:val="18125E6B"/>
    <w:rsid w:val="189339B4"/>
    <w:rsid w:val="196472A5"/>
    <w:rsid w:val="19C64BAF"/>
    <w:rsid w:val="19E84F36"/>
    <w:rsid w:val="1BD6503A"/>
    <w:rsid w:val="1C5E0C5B"/>
    <w:rsid w:val="1E057FBD"/>
    <w:rsid w:val="1E271DD2"/>
    <w:rsid w:val="1EBB4408"/>
    <w:rsid w:val="1EDF2429"/>
    <w:rsid w:val="1F8E0AD7"/>
    <w:rsid w:val="1FD56E37"/>
    <w:rsid w:val="20C95B73"/>
    <w:rsid w:val="22571FEE"/>
    <w:rsid w:val="232B6C8F"/>
    <w:rsid w:val="23A60CC7"/>
    <w:rsid w:val="23D13F19"/>
    <w:rsid w:val="24B87000"/>
    <w:rsid w:val="256F2143"/>
    <w:rsid w:val="258659ED"/>
    <w:rsid w:val="272C6625"/>
    <w:rsid w:val="28861036"/>
    <w:rsid w:val="291D532E"/>
    <w:rsid w:val="2A522989"/>
    <w:rsid w:val="2B5C640A"/>
    <w:rsid w:val="2B6908BD"/>
    <w:rsid w:val="2C071ECD"/>
    <w:rsid w:val="2C4649D5"/>
    <w:rsid w:val="2E293FD1"/>
    <w:rsid w:val="2ED116C7"/>
    <w:rsid w:val="2FBB4B22"/>
    <w:rsid w:val="2FED32B3"/>
    <w:rsid w:val="307929B4"/>
    <w:rsid w:val="30A17DBB"/>
    <w:rsid w:val="31FF6F0C"/>
    <w:rsid w:val="32666D1A"/>
    <w:rsid w:val="331F2C44"/>
    <w:rsid w:val="33815499"/>
    <w:rsid w:val="355D4811"/>
    <w:rsid w:val="362527BB"/>
    <w:rsid w:val="363C59C5"/>
    <w:rsid w:val="38115292"/>
    <w:rsid w:val="386E55D7"/>
    <w:rsid w:val="38BC3254"/>
    <w:rsid w:val="38CC551C"/>
    <w:rsid w:val="38DA2254"/>
    <w:rsid w:val="39642BE2"/>
    <w:rsid w:val="3AAE181A"/>
    <w:rsid w:val="3AE21E06"/>
    <w:rsid w:val="3BB9274B"/>
    <w:rsid w:val="3BCB139D"/>
    <w:rsid w:val="3C25405C"/>
    <w:rsid w:val="40451894"/>
    <w:rsid w:val="417F231D"/>
    <w:rsid w:val="41D15A0C"/>
    <w:rsid w:val="4289408D"/>
    <w:rsid w:val="43D61CCF"/>
    <w:rsid w:val="44046443"/>
    <w:rsid w:val="45123072"/>
    <w:rsid w:val="45322FFB"/>
    <w:rsid w:val="454B3D75"/>
    <w:rsid w:val="46982A77"/>
    <w:rsid w:val="46D93F56"/>
    <w:rsid w:val="471C489F"/>
    <w:rsid w:val="4A4775F9"/>
    <w:rsid w:val="4C5E25C5"/>
    <w:rsid w:val="4CA744E7"/>
    <w:rsid w:val="4CF5295C"/>
    <w:rsid w:val="4D96113F"/>
    <w:rsid w:val="4FE942D0"/>
    <w:rsid w:val="50882719"/>
    <w:rsid w:val="509211C5"/>
    <w:rsid w:val="50961B76"/>
    <w:rsid w:val="50B66C86"/>
    <w:rsid w:val="51170A82"/>
    <w:rsid w:val="516D5164"/>
    <w:rsid w:val="51AD45DA"/>
    <w:rsid w:val="52DF0C76"/>
    <w:rsid w:val="53947089"/>
    <w:rsid w:val="54CF2D87"/>
    <w:rsid w:val="58A423B7"/>
    <w:rsid w:val="59A00C64"/>
    <w:rsid w:val="5A7C6BEE"/>
    <w:rsid w:val="5B4835A4"/>
    <w:rsid w:val="5BE2496D"/>
    <w:rsid w:val="5BEC7AC8"/>
    <w:rsid w:val="5CFB32D0"/>
    <w:rsid w:val="5E802B5B"/>
    <w:rsid w:val="5FB23D8A"/>
    <w:rsid w:val="5FED49B5"/>
    <w:rsid w:val="62EF710F"/>
    <w:rsid w:val="62F77BB0"/>
    <w:rsid w:val="63124E3C"/>
    <w:rsid w:val="6396692F"/>
    <w:rsid w:val="643F2198"/>
    <w:rsid w:val="645A2835"/>
    <w:rsid w:val="6508780E"/>
    <w:rsid w:val="650C54B4"/>
    <w:rsid w:val="65C425F6"/>
    <w:rsid w:val="6634187A"/>
    <w:rsid w:val="695F0EEF"/>
    <w:rsid w:val="697B4FBC"/>
    <w:rsid w:val="69B13584"/>
    <w:rsid w:val="69DE7C20"/>
    <w:rsid w:val="69E73C5B"/>
    <w:rsid w:val="6B394CBF"/>
    <w:rsid w:val="6BF121A6"/>
    <w:rsid w:val="6C606497"/>
    <w:rsid w:val="6DCB0573"/>
    <w:rsid w:val="70C76F59"/>
    <w:rsid w:val="722C1A68"/>
    <w:rsid w:val="72A333B3"/>
    <w:rsid w:val="7313199D"/>
    <w:rsid w:val="742625E3"/>
    <w:rsid w:val="75CD2299"/>
    <w:rsid w:val="75D307BA"/>
    <w:rsid w:val="7662337B"/>
    <w:rsid w:val="7765170E"/>
    <w:rsid w:val="788039DC"/>
    <w:rsid w:val="78FA3986"/>
    <w:rsid w:val="795F1B74"/>
    <w:rsid w:val="7AE0718C"/>
    <w:rsid w:val="7CB2073C"/>
    <w:rsid w:val="7D202112"/>
    <w:rsid w:val="7F63780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8"/>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30"/>
    <w:qFormat/>
    <w:uiPriority w:val="99"/>
    <w:pPr>
      <w:keepNext/>
      <w:keepLines/>
      <w:spacing w:before="260" w:after="260" w:line="416" w:lineRule="auto"/>
      <w:outlineLvl w:val="2"/>
    </w:pPr>
    <w:rPr>
      <w:b/>
      <w:bCs/>
      <w:sz w:val="32"/>
      <w:szCs w:val="32"/>
    </w:rPr>
  </w:style>
  <w:style w:type="character" w:default="1" w:styleId="24">
    <w:name w:val="Default Paragraph Font"/>
    <w:semiHidden/>
    <w:qFormat/>
    <w:uiPriority w:val="99"/>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99"/>
    <w:pPr>
      <w:jc w:val="center"/>
    </w:pPr>
    <w:rPr>
      <w:b/>
      <w:bCs/>
    </w:rPr>
  </w:style>
  <w:style w:type="paragraph" w:styleId="6">
    <w:name w:val="Document Map"/>
    <w:basedOn w:val="1"/>
    <w:link w:val="32"/>
    <w:semiHidden/>
    <w:qFormat/>
    <w:uiPriority w:val="99"/>
    <w:rPr>
      <w:rFonts w:ascii="宋体" w:cs="宋体"/>
      <w:sz w:val="18"/>
      <w:szCs w:val="18"/>
    </w:rPr>
  </w:style>
  <w:style w:type="paragraph" w:styleId="7">
    <w:name w:val="annotation text"/>
    <w:basedOn w:val="1"/>
    <w:link w:val="33"/>
    <w:semiHidden/>
    <w:qFormat/>
    <w:uiPriority w:val="99"/>
    <w:pPr>
      <w:jc w:val="left"/>
    </w:pPr>
  </w:style>
  <w:style w:type="paragraph" w:styleId="8">
    <w:name w:val="Body Text"/>
    <w:basedOn w:val="1"/>
    <w:link w:val="34"/>
    <w:qFormat/>
    <w:uiPriority w:val="99"/>
    <w:pPr>
      <w:jc w:val="center"/>
    </w:pPr>
    <w:rPr>
      <w:rFonts w:eastAsia="黑体"/>
      <w:sz w:val="36"/>
      <w:szCs w:val="36"/>
    </w:rPr>
  </w:style>
  <w:style w:type="paragraph" w:styleId="9">
    <w:name w:val="Body Text Indent"/>
    <w:basedOn w:val="1"/>
    <w:link w:val="35"/>
    <w:qFormat/>
    <w:uiPriority w:val="99"/>
    <w:pPr>
      <w:spacing w:beforeLines="25" w:afterLines="25"/>
      <w:ind w:firstLine="538" w:firstLineChars="192"/>
    </w:pPr>
    <w:rPr>
      <w:sz w:val="24"/>
      <w:szCs w:val="24"/>
    </w:rPr>
  </w:style>
  <w:style w:type="paragraph" w:styleId="10">
    <w:name w:val="toc 3"/>
    <w:basedOn w:val="1"/>
    <w:next w:val="1"/>
    <w:semiHidden/>
    <w:qFormat/>
    <w:uiPriority w:val="99"/>
    <w:pPr>
      <w:ind w:left="840" w:leftChars="400"/>
    </w:pPr>
  </w:style>
  <w:style w:type="paragraph" w:styleId="11">
    <w:name w:val="Plain Text"/>
    <w:basedOn w:val="1"/>
    <w:qFormat/>
    <w:locked/>
    <w:uiPriority w:val="0"/>
    <w:rPr>
      <w:rFonts w:ascii="宋体" w:hAnsi="Courier New" w:cs="Courier New"/>
      <w:szCs w:val="21"/>
    </w:rPr>
  </w:style>
  <w:style w:type="paragraph" w:styleId="12">
    <w:name w:val="Date"/>
    <w:basedOn w:val="1"/>
    <w:next w:val="1"/>
    <w:link w:val="36"/>
    <w:qFormat/>
    <w:uiPriority w:val="99"/>
    <w:pPr>
      <w:ind w:left="100" w:leftChars="2500"/>
    </w:pPr>
  </w:style>
  <w:style w:type="paragraph" w:styleId="13">
    <w:name w:val="Body Text Indent 2"/>
    <w:basedOn w:val="1"/>
    <w:link w:val="37"/>
    <w:qFormat/>
    <w:uiPriority w:val="99"/>
    <w:pPr>
      <w:spacing w:after="120" w:line="480" w:lineRule="auto"/>
      <w:ind w:left="420" w:leftChars="200"/>
    </w:pPr>
  </w:style>
  <w:style w:type="paragraph" w:styleId="14">
    <w:name w:val="Balloon Text"/>
    <w:basedOn w:val="1"/>
    <w:link w:val="38"/>
    <w:semiHidden/>
    <w:qFormat/>
    <w:uiPriority w:val="99"/>
    <w:rPr>
      <w:sz w:val="18"/>
      <w:szCs w:val="18"/>
    </w:rPr>
  </w:style>
  <w:style w:type="paragraph" w:styleId="15">
    <w:name w:val="footer"/>
    <w:basedOn w:val="1"/>
    <w:link w:val="39"/>
    <w:qFormat/>
    <w:uiPriority w:val="99"/>
    <w:pPr>
      <w:tabs>
        <w:tab w:val="center" w:pos="4153"/>
        <w:tab w:val="right" w:pos="8306"/>
      </w:tabs>
      <w:snapToGrid w:val="0"/>
      <w:jc w:val="left"/>
    </w:pPr>
    <w:rPr>
      <w:sz w:val="18"/>
      <w:szCs w:val="18"/>
    </w:rPr>
  </w:style>
  <w:style w:type="paragraph" w:styleId="16">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qFormat/>
    <w:uiPriority w:val="99"/>
  </w:style>
  <w:style w:type="paragraph" w:styleId="18">
    <w:name w:val="toc 2"/>
    <w:basedOn w:val="1"/>
    <w:next w:val="1"/>
    <w:semiHidden/>
    <w:qFormat/>
    <w:uiPriority w:val="99"/>
    <w:pPr>
      <w:ind w:left="420" w:leftChars="200"/>
    </w:pPr>
  </w:style>
  <w:style w:type="paragraph" w:styleId="19">
    <w:name w:val="HTML Preformatted"/>
    <w:basedOn w:val="1"/>
    <w:link w:val="4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7"/>
    <w:next w:val="7"/>
    <w:link w:val="42"/>
    <w:semiHidden/>
    <w:qFormat/>
    <w:uiPriority w:val="99"/>
    <w:rPr>
      <w:b/>
      <w:bCs/>
    </w:rPr>
  </w:style>
  <w:style w:type="table" w:styleId="23">
    <w:name w:val="Table Grid"/>
    <w:basedOn w:val="2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99"/>
  </w:style>
  <w:style w:type="character" w:styleId="26">
    <w:name w:val="Hyperlink"/>
    <w:basedOn w:val="24"/>
    <w:qFormat/>
    <w:uiPriority w:val="99"/>
    <w:rPr>
      <w:color w:val="0000FF"/>
      <w:u w:val="single"/>
    </w:rPr>
  </w:style>
  <w:style w:type="character" w:styleId="27">
    <w:name w:val="annotation reference"/>
    <w:basedOn w:val="24"/>
    <w:semiHidden/>
    <w:qFormat/>
    <w:uiPriority w:val="99"/>
    <w:rPr>
      <w:sz w:val="21"/>
      <w:szCs w:val="21"/>
    </w:rPr>
  </w:style>
  <w:style w:type="character" w:customStyle="1" w:styleId="28">
    <w:name w:val="Heading 1 Char"/>
    <w:basedOn w:val="24"/>
    <w:link w:val="2"/>
    <w:qFormat/>
    <w:locked/>
    <w:uiPriority w:val="99"/>
    <w:rPr>
      <w:b/>
      <w:bCs/>
      <w:kern w:val="44"/>
      <w:sz w:val="44"/>
      <w:szCs w:val="44"/>
    </w:rPr>
  </w:style>
  <w:style w:type="character" w:customStyle="1" w:styleId="29">
    <w:name w:val="Heading 2 Char"/>
    <w:basedOn w:val="24"/>
    <w:link w:val="3"/>
    <w:semiHidden/>
    <w:qFormat/>
    <w:locked/>
    <w:uiPriority w:val="99"/>
    <w:rPr>
      <w:rFonts w:ascii="Cambria" w:hAnsi="Cambria" w:eastAsia="宋体" w:cs="Cambria"/>
      <w:b/>
      <w:bCs/>
      <w:sz w:val="32"/>
      <w:szCs w:val="32"/>
    </w:rPr>
  </w:style>
  <w:style w:type="character" w:customStyle="1" w:styleId="30">
    <w:name w:val="Heading 3 Char"/>
    <w:basedOn w:val="24"/>
    <w:link w:val="4"/>
    <w:semiHidden/>
    <w:qFormat/>
    <w:locked/>
    <w:uiPriority w:val="99"/>
    <w:rPr>
      <w:b/>
      <w:bCs/>
      <w:sz w:val="32"/>
      <w:szCs w:val="32"/>
    </w:rPr>
  </w:style>
  <w:style w:type="paragraph" w:customStyle="1" w:styleId="31">
    <w:name w:val="[Normal]"/>
    <w:qFormat/>
    <w:uiPriority w:val="99"/>
    <w:rPr>
      <w:rFonts w:ascii="宋体" w:hAnsi="宋体" w:eastAsia="宋体" w:cs="宋体"/>
      <w:kern w:val="0"/>
      <w:sz w:val="24"/>
      <w:szCs w:val="24"/>
      <w:lang w:val="zh-CN" w:eastAsia="zh-CN" w:bidi="ar-SA"/>
    </w:rPr>
  </w:style>
  <w:style w:type="character" w:customStyle="1" w:styleId="32">
    <w:name w:val="Document Map Char"/>
    <w:basedOn w:val="24"/>
    <w:link w:val="6"/>
    <w:qFormat/>
    <w:locked/>
    <w:uiPriority w:val="99"/>
    <w:rPr>
      <w:rFonts w:ascii="宋体" w:cs="宋体"/>
      <w:kern w:val="2"/>
      <w:sz w:val="18"/>
      <w:szCs w:val="18"/>
    </w:rPr>
  </w:style>
  <w:style w:type="character" w:customStyle="1" w:styleId="33">
    <w:name w:val="Comment Text Char"/>
    <w:basedOn w:val="24"/>
    <w:link w:val="7"/>
    <w:qFormat/>
    <w:locked/>
    <w:uiPriority w:val="99"/>
    <w:rPr>
      <w:kern w:val="2"/>
      <w:sz w:val="24"/>
      <w:szCs w:val="24"/>
    </w:rPr>
  </w:style>
  <w:style w:type="character" w:customStyle="1" w:styleId="34">
    <w:name w:val="Body Text Char"/>
    <w:basedOn w:val="24"/>
    <w:link w:val="8"/>
    <w:semiHidden/>
    <w:qFormat/>
    <w:locked/>
    <w:uiPriority w:val="99"/>
    <w:rPr>
      <w:sz w:val="21"/>
      <w:szCs w:val="21"/>
    </w:rPr>
  </w:style>
  <w:style w:type="character" w:customStyle="1" w:styleId="35">
    <w:name w:val="Body Text Indent Char"/>
    <w:basedOn w:val="24"/>
    <w:link w:val="9"/>
    <w:semiHidden/>
    <w:qFormat/>
    <w:locked/>
    <w:uiPriority w:val="99"/>
    <w:rPr>
      <w:sz w:val="21"/>
      <w:szCs w:val="21"/>
    </w:rPr>
  </w:style>
  <w:style w:type="character" w:customStyle="1" w:styleId="36">
    <w:name w:val="Date Char"/>
    <w:basedOn w:val="24"/>
    <w:link w:val="12"/>
    <w:semiHidden/>
    <w:qFormat/>
    <w:locked/>
    <w:uiPriority w:val="99"/>
    <w:rPr>
      <w:sz w:val="21"/>
      <w:szCs w:val="21"/>
    </w:rPr>
  </w:style>
  <w:style w:type="character" w:customStyle="1" w:styleId="37">
    <w:name w:val="Body Text Indent 2 Char"/>
    <w:basedOn w:val="24"/>
    <w:link w:val="13"/>
    <w:semiHidden/>
    <w:qFormat/>
    <w:locked/>
    <w:uiPriority w:val="99"/>
    <w:rPr>
      <w:sz w:val="21"/>
      <w:szCs w:val="21"/>
    </w:rPr>
  </w:style>
  <w:style w:type="character" w:customStyle="1" w:styleId="38">
    <w:name w:val="Balloon Text Char"/>
    <w:basedOn w:val="24"/>
    <w:link w:val="14"/>
    <w:semiHidden/>
    <w:qFormat/>
    <w:locked/>
    <w:uiPriority w:val="99"/>
    <w:rPr>
      <w:sz w:val="2"/>
      <w:szCs w:val="2"/>
    </w:rPr>
  </w:style>
  <w:style w:type="character" w:customStyle="1" w:styleId="39">
    <w:name w:val="Footer Char"/>
    <w:basedOn w:val="24"/>
    <w:link w:val="15"/>
    <w:semiHidden/>
    <w:qFormat/>
    <w:locked/>
    <w:uiPriority w:val="99"/>
    <w:rPr>
      <w:sz w:val="18"/>
      <w:szCs w:val="18"/>
    </w:rPr>
  </w:style>
  <w:style w:type="character" w:customStyle="1" w:styleId="40">
    <w:name w:val="Header Char"/>
    <w:basedOn w:val="24"/>
    <w:link w:val="16"/>
    <w:semiHidden/>
    <w:qFormat/>
    <w:locked/>
    <w:uiPriority w:val="99"/>
    <w:rPr>
      <w:sz w:val="18"/>
      <w:szCs w:val="18"/>
    </w:rPr>
  </w:style>
  <w:style w:type="character" w:customStyle="1" w:styleId="41">
    <w:name w:val="HTML Preformatted Char"/>
    <w:basedOn w:val="24"/>
    <w:link w:val="19"/>
    <w:semiHidden/>
    <w:qFormat/>
    <w:locked/>
    <w:uiPriority w:val="99"/>
    <w:rPr>
      <w:rFonts w:ascii="Courier New" w:hAnsi="Courier New" w:cs="Courier New"/>
      <w:sz w:val="20"/>
      <w:szCs w:val="20"/>
    </w:rPr>
  </w:style>
  <w:style w:type="character" w:customStyle="1" w:styleId="42">
    <w:name w:val="Comment Subject Char"/>
    <w:basedOn w:val="33"/>
    <w:link w:val="21"/>
    <w:qFormat/>
    <w:locked/>
    <w:uiPriority w:val="99"/>
  </w:style>
  <w:style w:type="paragraph" w:customStyle="1" w:styleId="43">
    <w:name w:val="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4">
    <w:name w:val="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5">
    <w:name w:val="Char1"/>
    <w:basedOn w:val="1"/>
    <w:qFormat/>
    <w:uiPriority w:val="99"/>
    <w:pPr>
      <w:widowControl/>
      <w:jc w:val="left"/>
    </w:pPr>
    <w:rPr>
      <w:kern w:val="0"/>
      <w:sz w:val="20"/>
      <w:szCs w:val="20"/>
    </w:rPr>
  </w:style>
  <w:style w:type="character" w:customStyle="1" w:styleId="46">
    <w:name w:val="default1"/>
    <w:basedOn w:val="24"/>
    <w:qFormat/>
    <w:uiPriority w:val="99"/>
    <w:rPr>
      <w:sz w:val="21"/>
      <w:szCs w:val="21"/>
      <w:lang w:val="zh-CN"/>
    </w:rPr>
  </w:style>
  <w:style w:type="paragraph" w:customStyle="1" w:styleId="47">
    <w:name w:val="Char2"/>
    <w:basedOn w:val="1"/>
    <w:qFormat/>
    <w:uiPriority w:val="99"/>
  </w:style>
  <w:style w:type="paragraph" w:customStyle="1" w:styleId="48">
    <w:name w:val="列出段落1"/>
    <w:basedOn w:val="1"/>
    <w:qFormat/>
    <w:uiPriority w:val="99"/>
    <w:pPr>
      <w:ind w:firstLine="420" w:firstLineChars="200"/>
    </w:pPr>
  </w:style>
  <w:style w:type="paragraph" w:customStyle="1" w:styleId="49">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50">
    <w:name w:val="Table Paragraph"/>
    <w:basedOn w:val="1"/>
    <w:qFormat/>
    <w:uiPriority w:val="99"/>
    <w:rPr>
      <w:rFonts w:ascii="宋体" w:hAnsi="宋体" w:cs="宋体"/>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jushi</Company>
  <Pages>18</Pages>
  <Words>1758</Words>
  <Characters>10027</Characters>
  <Lines>0</Lines>
  <Paragraphs>0</Paragraphs>
  <TotalTime>69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2015-10-12T01:18:00Z</dcterms:created>
  <dc:creator>yuda</dc:creator>
  <cp:lastModifiedBy>小黑</cp:lastModifiedBy>
  <cp:lastPrinted>2018-08-16T07:19:00Z</cp:lastPrinted>
  <dcterms:modified xsi:type="dcterms:W3CDTF">2024-08-21T06:16:08Z</dcterms:modified>
  <dc:title>关于召开2003年度股东大会的议案</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UseMTPrefs">
    <vt:lpwstr>1</vt:lpwstr>
  </property>
  <property fmtid="{D5CDD505-2E9C-101B-9397-08002B2CF9AE}" pid="4" name="KSOProductBuildVer">
    <vt:lpwstr>2052-12.1.0.15712</vt:lpwstr>
  </property>
  <property fmtid="{D5CDD505-2E9C-101B-9397-08002B2CF9AE}" pid="5" name="ICV">
    <vt:lpwstr>E5A036C9DC3D44B49A92F1EDFD64EE64_12</vt:lpwstr>
  </property>
</Properties>
</file>